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331A" w14:textId="38648EB7" w:rsidR="006A72D9" w:rsidRDefault="006A72D9" w:rsidP="006A72D9">
      <w:pPr>
        <w:pBdr>
          <w:bottom w:val="single" w:sz="4" w:space="1" w:color="auto"/>
        </w:pBdr>
        <w:jc w:val="center"/>
        <w:rPr>
          <w:rFonts w:ascii="Rockwell" w:hAnsi="Rockwell" w:cs="Aharoni"/>
          <w:b/>
          <w:color w:val="566423"/>
          <w:spacing w:val="-20"/>
          <w:sz w:val="48"/>
          <w:szCs w:val="48"/>
        </w:rPr>
      </w:pPr>
      <w:r w:rsidRPr="002B7153">
        <w:rPr>
          <w:rFonts w:ascii="Rockwell" w:hAnsi="Rockwell" w:cs="Aharoni"/>
          <w:b/>
          <w:color w:val="566423"/>
          <w:spacing w:val="-20"/>
          <w:sz w:val="48"/>
          <w:szCs w:val="48"/>
        </w:rPr>
        <w:t xml:space="preserve">2019 </w:t>
      </w:r>
      <w:r>
        <w:rPr>
          <w:rFonts w:ascii="Rockwell" w:hAnsi="Rockwell" w:cs="Aharoni"/>
          <w:b/>
          <w:color w:val="566423"/>
          <w:spacing w:val="-20"/>
          <w:sz w:val="48"/>
          <w:szCs w:val="48"/>
        </w:rPr>
        <w:t xml:space="preserve">Open Space </w:t>
      </w:r>
      <w:r w:rsidRPr="002B7153">
        <w:rPr>
          <w:rFonts w:ascii="Rockwell" w:hAnsi="Rockwell" w:cs="Aharoni"/>
          <w:b/>
          <w:color w:val="566423"/>
          <w:spacing w:val="-20"/>
          <w:sz w:val="48"/>
          <w:szCs w:val="48"/>
        </w:rPr>
        <w:t>Grant Application</w:t>
      </w:r>
    </w:p>
    <w:p w14:paraId="178C241F" w14:textId="13407177" w:rsidR="009B2821" w:rsidRPr="004B7ED1" w:rsidRDefault="004B7ED1" w:rsidP="004B7ED1">
      <w:pPr>
        <w:pBdr>
          <w:bottom w:val="single" w:sz="4" w:space="1" w:color="auto"/>
        </w:pBdr>
        <w:jc w:val="center"/>
        <w:rPr>
          <w:rFonts w:ascii="Rockwell" w:hAnsi="Rockwell" w:cs="Aharoni"/>
          <w:b/>
          <w:color w:val="566423"/>
          <w:spacing w:val="-20"/>
          <w:sz w:val="48"/>
          <w:szCs w:val="48"/>
        </w:rPr>
      </w:pPr>
      <w:r>
        <w:rPr>
          <w:rFonts w:ascii="Rockwell" w:hAnsi="Rockwell" w:cs="Aharoni"/>
          <w:b/>
          <w:color w:val="566423"/>
          <w:spacing w:val="-20"/>
          <w:sz w:val="48"/>
          <w:szCs w:val="48"/>
        </w:rPr>
        <w:t>Instructions</w:t>
      </w:r>
    </w:p>
    <w:p w14:paraId="7652658B" w14:textId="77777777" w:rsidR="009B2821" w:rsidRPr="00296B34" w:rsidRDefault="009B2821" w:rsidP="009B28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14:paraId="520E6CBF" w14:textId="77777777" w:rsidR="009B2821" w:rsidRDefault="009B2821" w:rsidP="009B28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8005B">
        <w:rPr>
          <w:rFonts w:ascii="Calibri" w:hAnsi="Calibri"/>
        </w:rPr>
        <w:t xml:space="preserve">These </w:t>
      </w:r>
      <w:r>
        <w:rPr>
          <w:rFonts w:ascii="Calibri" w:hAnsi="Calibri"/>
        </w:rPr>
        <w:t>i</w:t>
      </w:r>
      <w:r w:rsidRPr="00E8005B">
        <w:rPr>
          <w:rFonts w:ascii="Calibri" w:hAnsi="Calibri"/>
        </w:rPr>
        <w:t xml:space="preserve">nstructions provide guidance for filling out </w:t>
      </w:r>
      <w:r>
        <w:rPr>
          <w:rFonts w:ascii="Calibri" w:hAnsi="Calibri"/>
        </w:rPr>
        <w:t xml:space="preserve">and submitting </w:t>
      </w:r>
      <w:r w:rsidRPr="00E8005B">
        <w:rPr>
          <w:rFonts w:ascii="Calibri" w:hAnsi="Calibri"/>
        </w:rPr>
        <w:t>the Open Space Grant Application</w:t>
      </w:r>
      <w:r>
        <w:rPr>
          <w:rFonts w:ascii="Calibri" w:hAnsi="Calibri"/>
        </w:rPr>
        <w:t>, including:</w:t>
      </w:r>
    </w:p>
    <w:p w14:paraId="0E6EC0EB" w14:textId="77777777" w:rsidR="009B2821" w:rsidRDefault="009B2821" w:rsidP="009B28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9EBAF91" w14:textId="77777777" w:rsidR="009B2821" w:rsidRDefault="009B2821" w:rsidP="009B2821">
      <w:pPr>
        <w:widowControl/>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How to submit an Open Space Application</w:t>
      </w:r>
    </w:p>
    <w:p w14:paraId="71BB305B" w14:textId="77777777" w:rsidR="009B2821" w:rsidRDefault="009B2821" w:rsidP="009B2821">
      <w:pPr>
        <w:widowControl/>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Instructions for Completing GOCO’s Open Space Grant Application</w:t>
      </w:r>
    </w:p>
    <w:p w14:paraId="353AF55E" w14:textId="77777777" w:rsidR="009B2821" w:rsidRDefault="009B2821" w:rsidP="009B2821">
      <w:pPr>
        <w:widowControl/>
        <w:numPr>
          <w:ilvl w:val="1"/>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Summary Form Instructions</w:t>
      </w:r>
    </w:p>
    <w:p w14:paraId="31E3D69D" w14:textId="77777777" w:rsidR="009B2821" w:rsidRDefault="009B2821" w:rsidP="009B2821">
      <w:pPr>
        <w:widowControl/>
        <w:numPr>
          <w:ilvl w:val="1"/>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Selection Criteria Instructions</w:t>
      </w:r>
    </w:p>
    <w:p w14:paraId="0CAD191C" w14:textId="77777777" w:rsidR="009B2821" w:rsidRDefault="009B2821" w:rsidP="009B2821">
      <w:pPr>
        <w:widowControl/>
        <w:numPr>
          <w:ilvl w:val="1"/>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Budget Instructions</w:t>
      </w:r>
    </w:p>
    <w:p w14:paraId="67A8F301" w14:textId="77777777" w:rsidR="009B2821" w:rsidRDefault="009B2821" w:rsidP="009B28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77F512B" w14:textId="77777777" w:rsidR="009B2821" w:rsidRPr="00296B34" w:rsidRDefault="009B2821" w:rsidP="009B28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296B34">
        <w:rPr>
          <w:rFonts w:ascii="Calibri" w:hAnsi="Calibri"/>
          <w:bCs/>
        </w:rPr>
        <w:t xml:space="preserve">Please note that GOCO makes regular updates to the application and instructions. Please read them both carefully and contact </w:t>
      </w:r>
      <w:r>
        <w:rPr>
          <w:rFonts w:ascii="Calibri" w:hAnsi="Calibri"/>
          <w:bCs/>
        </w:rPr>
        <w:t>Alex Castino</w:t>
      </w:r>
      <w:r w:rsidRPr="00296B34">
        <w:rPr>
          <w:rFonts w:ascii="Calibri" w:hAnsi="Calibri"/>
          <w:bCs/>
        </w:rPr>
        <w:t xml:space="preserve"> (303-226-45</w:t>
      </w:r>
      <w:r>
        <w:rPr>
          <w:rFonts w:ascii="Calibri" w:hAnsi="Calibri"/>
          <w:bCs/>
        </w:rPr>
        <w:t>17</w:t>
      </w:r>
      <w:r w:rsidRPr="00296B34">
        <w:rPr>
          <w:rFonts w:ascii="Calibri" w:hAnsi="Calibri"/>
          <w:bCs/>
        </w:rPr>
        <w:t xml:space="preserve"> or </w:t>
      </w:r>
      <w:hyperlink r:id="rId8" w:history="1">
        <w:r>
          <w:rPr>
            <w:rStyle w:val="Hyperlink"/>
            <w:rFonts w:ascii="Calibri" w:hAnsi="Calibri"/>
            <w:bCs/>
          </w:rPr>
          <w:t>acastino@goco.org</w:t>
        </w:r>
      </w:hyperlink>
      <w:r w:rsidRPr="00296B34">
        <w:rPr>
          <w:rFonts w:ascii="Calibri" w:hAnsi="Calibri"/>
          <w:bCs/>
        </w:rPr>
        <w:t>) with any questions.</w:t>
      </w:r>
      <w:r w:rsidRPr="00296B34">
        <w:rPr>
          <w:rFonts w:ascii="Calibri" w:hAnsi="Calibri"/>
        </w:rPr>
        <w:t xml:space="preserve">  </w:t>
      </w:r>
    </w:p>
    <w:p w14:paraId="4A59B65D" w14:textId="77777777" w:rsidR="009B2821" w:rsidRPr="00E8005B" w:rsidRDefault="009B2821" w:rsidP="009B2821">
      <w:pPr>
        <w:jc w:val="both"/>
        <w:rPr>
          <w:rFonts w:ascii="Calibri" w:hAnsi="Calibri"/>
          <w:i/>
        </w:rPr>
      </w:pPr>
    </w:p>
    <w:p w14:paraId="6EB5DC28" w14:textId="77777777" w:rsidR="009B2821" w:rsidRPr="00E8005B" w:rsidRDefault="009B2821" w:rsidP="009B2821">
      <w:pPr>
        <w:jc w:val="both"/>
        <w:rPr>
          <w:rFonts w:ascii="Calibri" w:hAnsi="Calibri"/>
        </w:rPr>
      </w:pPr>
      <w:r w:rsidRPr="00E8005B">
        <w:rPr>
          <w:rFonts w:ascii="Calibri" w:hAnsi="Calibri"/>
        </w:rPr>
        <w:t>Issued: June 201</w:t>
      </w:r>
      <w:r>
        <w:rPr>
          <w:rFonts w:ascii="Calibri" w:hAnsi="Calibri"/>
        </w:rPr>
        <w:t>9</w:t>
      </w:r>
    </w:p>
    <w:p w14:paraId="51CBEA95" w14:textId="77777777" w:rsidR="009B2821" w:rsidRPr="00296B34" w:rsidRDefault="009B2821" w:rsidP="009B28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6F3404E" w14:textId="77777777" w:rsidR="009B2821" w:rsidRPr="00296B34" w:rsidRDefault="009B2821" w:rsidP="009B2821">
      <w:pPr>
        <w:pStyle w:val="Header"/>
        <w:rPr>
          <w:rFonts w:ascii="Calibri" w:hAnsi="Calibri"/>
        </w:rPr>
      </w:pPr>
      <w:r w:rsidRPr="00296B34">
        <w:rPr>
          <w:rFonts w:ascii="Calibri" w:hAnsi="Calibri"/>
          <w:szCs w:val="24"/>
          <w:u w:val="single"/>
        </w:rPr>
        <w:br w:type="page"/>
      </w:r>
      <w:bookmarkStart w:id="0" w:name="_GoBack"/>
      <w:bookmarkEnd w:id="0"/>
    </w:p>
    <w:tbl>
      <w:tblPr>
        <w:tblW w:w="5123" w:type="pct"/>
        <w:jc w:val="right"/>
        <w:shd w:val="clear" w:color="auto" w:fill="566423"/>
        <w:tblLayout w:type="fixed"/>
        <w:tblCellMar>
          <w:top w:w="115" w:type="dxa"/>
          <w:left w:w="115" w:type="dxa"/>
          <w:bottom w:w="115" w:type="dxa"/>
          <w:right w:w="115" w:type="dxa"/>
        </w:tblCellMar>
        <w:tblLook w:val="04A0" w:firstRow="1" w:lastRow="0" w:firstColumn="1" w:lastColumn="0" w:noHBand="0" w:noVBand="1"/>
      </w:tblPr>
      <w:tblGrid>
        <w:gridCol w:w="2442"/>
        <w:gridCol w:w="7148"/>
      </w:tblGrid>
      <w:tr w:rsidR="004B7ED1" w:rsidRPr="00B145DB" w14:paraId="5F123417" w14:textId="77777777" w:rsidTr="00712AB1">
        <w:trPr>
          <w:trHeight w:hRule="exact" w:val="1132"/>
          <w:jc w:val="right"/>
        </w:trPr>
        <w:tc>
          <w:tcPr>
            <w:tcW w:w="1273" w:type="pct"/>
            <w:tcBorders>
              <w:right w:val="single" w:sz="4" w:space="0" w:color="FFFFFF" w:themeColor="background1"/>
            </w:tcBorders>
            <w:shd w:val="clear" w:color="auto" w:fill="566423"/>
            <w:vAlign w:val="center"/>
          </w:tcPr>
          <w:p w14:paraId="0026B1AA" w14:textId="77777777" w:rsidR="004B7ED1" w:rsidRDefault="004B7ED1" w:rsidP="00712AB1">
            <w:pPr>
              <w:pStyle w:val="Header"/>
              <w:ind w:left="-30"/>
              <w:jc w:val="center"/>
              <w:rPr>
                <w:caps/>
                <w:color w:val="FFFFFF" w:themeColor="background1"/>
              </w:rPr>
            </w:pPr>
            <w:r>
              <w:rPr>
                <w:caps/>
                <w:noProof/>
                <w:snapToGrid/>
                <w:color w:val="FFFFFF" w:themeColor="background1"/>
              </w:rPr>
              <w:lastRenderedPageBreak/>
              <w:drawing>
                <wp:inline distT="0" distB="0" distL="0" distR="0" wp14:anchorId="5865501D" wp14:editId="41BF48BE">
                  <wp:extent cx="1241492" cy="338328"/>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CO_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92" cy="338328"/>
                          </a:xfrm>
                          <a:prstGeom prst="rect">
                            <a:avLst/>
                          </a:prstGeom>
                        </pic:spPr>
                      </pic:pic>
                    </a:graphicData>
                  </a:graphic>
                </wp:inline>
              </w:drawing>
            </w:r>
          </w:p>
        </w:tc>
        <w:tc>
          <w:tcPr>
            <w:tcW w:w="3727" w:type="pct"/>
            <w:tcBorders>
              <w:left w:val="single" w:sz="4" w:space="0" w:color="FFFFFF" w:themeColor="background1"/>
            </w:tcBorders>
            <w:shd w:val="clear" w:color="auto" w:fill="566423"/>
            <w:vAlign w:val="center"/>
          </w:tcPr>
          <w:p w14:paraId="677A6F71" w14:textId="13C5A3DE" w:rsidR="004B7ED1" w:rsidRPr="00B145DB" w:rsidRDefault="004B7ED1" w:rsidP="00712AB1">
            <w:pPr>
              <w:pStyle w:val="Header"/>
              <w:jc w:val="right"/>
              <w:rPr>
                <w:caps/>
                <w:smallCaps/>
                <w:color w:val="FFFFFF" w:themeColor="background1"/>
              </w:rPr>
            </w:pPr>
            <w:r>
              <w:rPr>
                <w:rFonts w:ascii="Rockwell" w:hAnsi="Rockwell" w:cs="Arial"/>
                <w:b/>
                <w:smallCaps/>
                <w:color w:val="FFFFFF" w:themeColor="background1"/>
                <w:sz w:val="34"/>
                <w:szCs w:val="34"/>
              </w:rPr>
              <w:t xml:space="preserve">II. </w:t>
            </w:r>
            <w:r>
              <w:rPr>
                <w:rFonts w:ascii="Rockwell" w:hAnsi="Rockwell" w:cs="Arial"/>
                <w:b/>
                <w:smallCaps/>
                <w:color w:val="FFFFFF" w:themeColor="background1"/>
                <w:sz w:val="34"/>
                <w:szCs w:val="34"/>
              </w:rPr>
              <w:t>How to Submit an Open Space Grant Application</w:t>
            </w:r>
            <w:r w:rsidRPr="00B145DB">
              <w:rPr>
                <w:caps/>
                <w:smallCaps/>
                <w:color w:val="FFFFFF" w:themeColor="background1"/>
              </w:rPr>
              <w:t xml:space="preserve"> </w:t>
            </w:r>
          </w:p>
        </w:tc>
      </w:tr>
    </w:tbl>
    <w:p w14:paraId="1522A6C3" w14:textId="77777777" w:rsidR="009B2821" w:rsidRPr="00296B34" w:rsidRDefault="009B2821" w:rsidP="009B2821">
      <w:pPr>
        <w:rPr>
          <w:rFonts w:ascii="Calibri" w:hAnsi="Calibri"/>
        </w:rPr>
      </w:pPr>
    </w:p>
    <w:p w14:paraId="6D6436F1" w14:textId="77777777" w:rsidR="009B2821" w:rsidRPr="00296B34" w:rsidRDefault="009B2821" w:rsidP="009B2821">
      <w:pPr>
        <w:rPr>
          <w:rFonts w:ascii="Calibri" w:hAnsi="Calibri"/>
        </w:rPr>
      </w:pPr>
      <w:r w:rsidRPr="00296B34">
        <w:rPr>
          <w:rFonts w:ascii="Calibri" w:hAnsi="Calibri"/>
        </w:rPr>
        <w:t>Online submission instructions:</w:t>
      </w:r>
    </w:p>
    <w:p w14:paraId="389CACEB" w14:textId="77777777" w:rsidR="009B2821" w:rsidRPr="00296B34" w:rsidRDefault="009B2821" w:rsidP="009B2821">
      <w:pPr>
        <w:rPr>
          <w:rFonts w:ascii="Calibri" w:hAnsi="Calibri"/>
        </w:rPr>
      </w:pPr>
    </w:p>
    <w:p w14:paraId="6DA28677" w14:textId="77777777" w:rsidR="009B2821" w:rsidRPr="00296B34" w:rsidRDefault="009B2821" w:rsidP="009B2821">
      <w:pPr>
        <w:widowControl/>
        <w:numPr>
          <w:ilvl w:val="0"/>
          <w:numId w:val="29"/>
        </w:numPr>
        <w:rPr>
          <w:rFonts w:ascii="Calibri" w:hAnsi="Calibri"/>
        </w:rPr>
      </w:pPr>
      <w:r w:rsidRPr="00296B34">
        <w:rPr>
          <w:rFonts w:ascii="Calibri" w:hAnsi="Calibri"/>
        </w:rPr>
        <w:t xml:space="preserve">Download the application form and other relevant documents from </w:t>
      </w:r>
      <w:hyperlink r:id="rId10" w:history="1">
        <w:r w:rsidRPr="00296B34">
          <w:rPr>
            <w:rStyle w:val="Hyperlink"/>
            <w:rFonts w:ascii="Calibri" w:hAnsi="Calibri"/>
          </w:rPr>
          <w:t>http://www.goco.org/grants/apply/open-space</w:t>
        </w:r>
      </w:hyperlink>
      <w:r w:rsidRPr="00296B34">
        <w:rPr>
          <w:rFonts w:ascii="Calibri" w:hAnsi="Calibri"/>
        </w:rPr>
        <w:t xml:space="preserve"> </w:t>
      </w:r>
    </w:p>
    <w:p w14:paraId="0F0D6DEF" w14:textId="77777777" w:rsidR="009B2821" w:rsidRPr="00296B34" w:rsidRDefault="009B2821" w:rsidP="009B2821">
      <w:pPr>
        <w:widowControl/>
        <w:numPr>
          <w:ilvl w:val="0"/>
          <w:numId w:val="29"/>
        </w:numPr>
        <w:rPr>
          <w:rFonts w:ascii="Calibri" w:hAnsi="Calibri"/>
        </w:rPr>
      </w:pPr>
      <w:r w:rsidRPr="00296B34">
        <w:rPr>
          <w:rFonts w:ascii="Calibri" w:hAnsi="Calibri"/>
        </w:rPr>
        <w:t xml:space="preserve">Using the “Application Checklist” in the application form as a guide, you’ll create up to </w:t>
      </w:r>
      <w:r w:rsidRPr="00296B34">
        <w:rPr>
          <w:rFonts w:ascii="Calibri" w:hAnsi="Calibri"/>
          <w:b/>
          <w:u w:val="single"/>
        </w:rPr>
        <w:t>five</w:t>
      </w:r>
      <w:r w:rsidRPr="00296B34">
        <w:rPr>
          <w:rFonts w:ascii="Calibri" w:hAnsi="Calibri"/>
        </w:rPr>
        <w:t xml:space="preserve"> documents for submission through the portal.</w:t>
      </w:r>
    </w:p>
    <w:p w14:paraId="113F101E" w14:textId="77777777" w:rsidR="009B2821" w:rsidRPr="009D0B03" w:rsidRDefault="009B2821" w:rsidP="009B2821">
      <w:pPr>
        <w:widowControl/>
        <w:numPr>
          <w:ilvl w:val="0"/>
          <w:numId w:val="29"/>
        </w:numPr>
        <w:rPr>
          <w:rFonts w:ascii="Calibri" w:hAnsi="Calibri"/>
        </w:rPr>
      </w:pPr>
      <w:r w:rsidRPr="00117161">
        <w:rPr>
          <w:rFonts w:ascii="Calibri" w:hAnsi="Calibri"/>
        </w:rPr>
        <w:t xml:space="preserve">To start an application, follow </w:t>
      </w:r>
      <w:hyperlink r:id="rId11" w:history="1">
        <w:r w:rsidRPr="00E94F4F">
          <w:rPr>
            <w:rStyle w:val="Hyperlink"/>
            <w:rFonts w:ascii="Calibri" w:hAnsi="Calibri"/>
          </w:rPr>
          <w:t>this link</w:t>
        </w:r>
      </w:hyperlink>
      <w:r>
        <w:rPr>
          <w:rFonts w:ascii="Calibri" w:hAnsi="Calibri"/>
        </w:rPr>
        <w:t xml:space="preserve"> </w:t>
      </w:r>
      <w:r w:rsidRPr="00117161">
        <w:rPr>
          <w:rFonts w:ascii="Calibri" w:hAnsi="Calibri"/>
        </w:rPr>
        <w:t xml:space="preserve">and login to or register for the GOCO Grantee Portal. </w:t>
      </w:r>
      <w:r w:rsidRPr="00117161">
        <w:rPr>
          <w:rFonts w:ascii="Calibri" w:hAnsi="Calibri"/>
          <w:b/>
        </w:rPr>
        <w:t>Please use only this link to start a grant application; other links from previous grant cycles will not work properly and may result in your application not being properly submitted.</w:t>
      </w:r>
      <w:r>
        <w:rPr>
          <w:rFonts w:ascii="Calibri" w:hAnsi="Calibri"/>
          <w:b/>
        </w:rPr>
        <w:t xml:space="preserve">  This link will not allow you to access an existing application.  To do so, use only the link below.</w:t>
      </w:r>
    </w:p>
    <w:p w14:paraId="3B59FB68" w14:textId="77777777" w:rsidR="009B2821" w:rsidRPr="00296B34" w:rsidRDefault="009B2821" w:rsidP="009B2821">
      <w:pPr>
        <w:widowControl/>
        <w:numPr>
          <w:ilvl w:val="0"/>
          <w:numId w:val="29"/>
        </w:numPr>
        <w:rPr>
          <w:rFonts w:ascii="Calibri" w:hAnsi="Calibri"/>
        </w:rPr>
      </w:pPr>
      <w:r w:rsidRPr="00117161">
        <w:rPr>
          <w:rFonts w:ascii="Calibri" w:hAnsi="Calibri"/>
        </w:rPr>
        <w:t xml:space="preserve">When you log in, you will be on the new application page. If instructional text isn’t displaying properly, it will after you enter a Project Title and press </w:t>
      </w:r>
      <w:r>
        <w:rPr>
          <w:rFonts w:ascii="Calibri" w:hAnsi="Calibri"/>
        </w:rPr>
        <w:t>“</w:t>
      </w:r>
      <w:r w:rsidRPr="00117161">
        <w:rPr>
          <w:rFonts w:ascii="Calibri" w:hAnsi="Calibri"/>
        </w:rPr>
        <w:t>Save.</w:t>
      </w:r>
      <w:r>
        <w:rPr>
          <w:rFonts w:ascii="Calibri" w:hAnsi="Calibri"/>
        </w:rPr>
        <w:t>”</w:t>
      </w:r>
    </w:p>
    <w:p w14:paraId="060E9A94" w14:textId="77777777" w:rsidR="009B2821" w:rsidRPr="00296B34" w:rsidRDefault="009B2821" w:rsidP="009B2821">
      <w:pPr>
        <w:widowControl/>
        <w:numPr>
          <w:ilvl w:val="0"/>
          <w:numId w:val="29"/>
        </w:numPr>
        <w:rPr>
          <w:rFonts w:ascii="Calibri" w:hAnsi="Calibri"/>
        </w:rPr>
      </w:pPr>
      <w:r w:rsidRPr="00296B34">
        <w:rPr>
          <w:rFonts w:ascii="Calibri" w:hAnsi="Calibri"/>
        </w:rPr>
        <w:t>Complete the portal application:</w:t>
      </w:r>
    </w:p>
    <w:p w14:paraId="794CD26A" w14:textId="77777777" w:rsidR="009B2821" w:rsidRPr="00296B34" w:rsidRDefault="009B2821" w:rsidP="009B2821">
      <w:pPr>
        <w:widowControl/>
        <w:numPr>
          <w:ilvl w:val="1"/>
          <w:numId w:val="29"/>
        </w:numPr>
        <w:rPr>
          <w:rFonts w:ascii="Calibri" w:hAnsi="Calibri"/>
        </w:rPr>
      </w:pPr>
      <w:r w:rsidRPr="00296B34">
        <w:rPr>
          <w:rFonts w:ascii="Calibri" w:hAnsi="Calibri"/>
        </w:rPr>
        <w:t xml:space="preserve">Fill in all fields in the “Details” tab. </w:t>
      </w:r>
      <w:r w:rsidRPr="00117161">
        <w:rPr>
          <w:rFonts w:ascii="Calibri" w:hAnsi="Calibri"/>
        </w:rPr>
        <w:t>All fields are required, except where noted.</w:t>
      </w:r>
    </w:p>
    <w:p w14:paraId="1331249F" w14:textId="77777777" w:rsidR="009B2821" w:rsidRPr="00296B34" w:rsidRDefault="009B2821" w:rsidP="009B2821">
      <w:pPr>
        <w:widowControl/>
        <w:numPr>
          <w:ilvl w:val="1"/>
          <w:numId w:val="29"/>
        </w:numPr>
        <w:rPr>
          <w:rFonts w:ascii="Calibri" w:hAnsi="Calibri"/>
        </w:rPr>
      </w:pPr>
      <w:r w:rsidRPr="00296B34">
        <w:rPr>
          <w:rFonts w:ascii="Calibri" w:hAnsi="Calibri"/>
        </w:rPr>
        <w:t>Upload the documents in the “Attachments” tab.</w:t>
      </w:r>
    </w:p>
    <w:p w14:paraId="5F56A1D4" w14:textId="77777777" w:rsidR="009B2821" w:rsidRPr="00296B34" w:rsidRDefault="009B2821" w:rsidP="009B2821">
      <w:pPr>
        <w:widowControl/>
        <w:numPr>
          <w:ilvl w:val="2"/>
          <w:numId w:val="29"/>
        </w:numPr>
        <w:rPr>
          <w:rFonts w:ascii="Calibri" w:hAnsi="Calibri"/>
        </w:rPr>
      </w:pPr>
      <w:r w:rsidRPr="00117161">
        <w:rPr>
          <w:rFonts w:ascii="Calibri" w:hAnsi="Calibri"/>
        </w:rPr>
        <w:t>Each document must be 25MB or smaller.</w:t>
      </w:r>
    </w:p>
    <w:p w14:paraId="198B3974" w14:textId="77777777" w:rsidR="009B2821" w:rsidRPr="00296B34" w:rsidRDefault="009B2821" w:rsidP="009B2821">
      <w:pPr>
        <w:widowControl/>
        <w:numPr>
          <w:ilvl w:val="2"/>
          <w:numId w:val="29"/>
        </w:numPr>
        <w:rPr>
          <w:rFonts w:ascii="Calibri" w:hAnsi="Calibri"/>
        </w:rPr>
      </w:pPr>
      <w:r w:rsidRPr="00296B34">
        <w:rPr>
          <w:rFonts w:ascii="Calibri" w:hAnsi="Calibri"/>
        </w:rPr>
        <w:t xml:space="preserve">To upload, click the “Select” button to locate the document. </w:t>
      </w:r>
      <w:r w:rsidRPr="00296B34">
        <w:rPr>
          <w:rFonts w:ascii="Calibri" w:hAnsi="Calibri"/>
          <w:u w:val="single"/>
        </w:rPr>
        <w:t>You will need to then click “Upload” to attach it to the application.</w:t>
      </w:r>
    </w:p>
    <w:p w14:paraId="0D27DF26" w14:textId="77777777" w:rsidR="009B2821" w:rsidRPr="00296B34" w:rsidRDefault="009B2821" w:rsidP="009B2821">
      <w:pPr>
        <w:widowControl/>
        <w:numPr>
          <w:ilvl w:val="1"/>
          <w:numId w:val="29"/>
        </w:numPr>
        <w:rPr>
          <w:rFonts w:ascii="Calibri" w:hAnsi="Calibri"/>
        </w:rPr>
      </w:pPr>
      <w:r w:rsidRPr="00117161">
        <w:rPr>
          <w:rFonts w:ascii="Calibri" w:hAnsi="Calibri"/>
        </w:rPr>
        <w:t xml:space="preserve">When you are ready to submit your application, go to the “Review &amp; Submit” tab and click the Submit button. (The grant application will include a timeframe during which you are able to submit the application. Please make sure you’re </w:t>
      </w:r>
      <w:r>
        <w:rPr>
          <w:rFonts w:ascii="Calibri" w:hAnsi="Calibri"/>
        </w:rPr>
        <w:t xml:space="preserve">submitting </w:t>
      </w:r>
      <w:r w:rsidRPr="00117161">
        <w:rPr>
          <w:rFonts w:ascii="Calibri" w:hAnsi="Calibri"/>
        </w:rPr>
        <w:t>within this timeframe.)</w:t>
      </w:r>
    </w:p>
    <w:p w14:paraId="4DA87DA2" w14:textId="77777777" w:rsidR="009B2821" w:rsidRPr="00296B34" w:rsidRDefault="009B2821" w:rsidP="009B2821">
      <w:pPr>
        <w:widowControl/>
        <w:numPr>
          <w:ilvl w:val="0"/>
          <w:numId w:val="29"/>
        </w:numPr>
        <w:rPr>
          <w:rFonts w:ascii="Calibri" w:hAnsi="Calibri"/>
        </w:rPr>
      </w:pPr>
      <w:r w:rsidRPr="00296B34">
        <w:rPr>
          <w:rFonts w:ascii="Calibri" w:hAnsi="Calibri"/>
        </w:rPr>
        <w:t>Once you have submitted your application, you will be able to view it through the portal</w:t>
      </w:r>
      <w:r>
        <w:rPr>
          <w:rFonts w:ascii="Calibri" w:hAnsi="Calibri"/>
        </w:rPr>
        <w:t>,</w:t>
      </w:r>
      <w:r w:rsidRPr="00296B34">
        <w:rPr>
          <w:rFonts w:ascii="Calibri" w:hAnsi="Calibri"/>
        </w:rPr>
        <w:t xml:space="preserve"> but you will not be able to edit it. (If GOCO staff finds something you need to change in the application, they</w:t>
      </w:r>
      <w:r>
        <w:rPr>
          <w:rFonts w:ascii="Calibri" w:hAnsi="Calibri"/>
        </w:rPr>
        <w:t xml:space="preserve"> will contact you with instructions</w:t>
      </w:r>
      <w:r w:rsidRPr="00296B34">
        <w:rPr>
          <w:rFonts w:ascii="Calibri" w:hAnsi="Calibri"/>
        </w:rPr>
        <w:t>.)</w:t>
      </w:r>
    </w:p>
    <w:p w14:paraId="53E89EF8" w14:textId="77777777" w:rsidR="009B2821" w:rsidRPr="00296B34" w:rsidRDefault="009B2821" w:rsidP="009B2821">
      <w:pPr>
        <w:rPr>
          <w:rFonts w:ascii="Calibri" w:hAnsi="Calibri"/>
        </w:rPr>
      </w:pPr>
    </w:p>
    <w:p w14:paraId="1E27783F" w14:textId="77777777" w:rsidR="009B2821" w:rsidRPr="00296B34" w:rsidRDefault="009B2821" w:rsidP="009B2821">
      <w:pPr>
        <w:rPr>
          <w:rFonts w:ascii="Calibri" w:hAnsi="Calibri"/>
        </w:rPr>
      </w:pPr>
      <w:r w:rsidRPr="00296B34">
        <w:rPr>
          <w:rFonts w:ascii="Calibri" w:hAnsi="Calibri"/>
        </w:rPr>
        <w:t>Other useful information:</w:t>
      </w:r>
    </w:p>
    <w:p w14:paraId="6B3CCECB" w14:textId="77777777" w:rsidR="009B2821" w:rsidRPr="00296B34" w:rsidRDefault="009B2821" w:rsidP="009B2821">
      <w:pPr>
        <w:rPr>
          <w:rFonts w:ascii="Calibri" w:hAnsi="Calibri"/>
        </w:rPr>
      </w:pPr>
    </w:p>
    <w:p w14:paraId="16D62DA5" w14:textId="77777777" w:rsidR="009B2821" w:rsidRPr="00296B34" w:rsidRDefault="009B2821" w:rsidP="009B2821">
      <w:pPr>
        <w:widowControl/>
        <w:numPr>
          <w:ilvl w:val="0"/>
          <w:numId w:val="30"/>
        </w:numPr>
        <w:rPr>
          <w:rFonts w:ascii="Calibri" w:hAnsi="Calibri"/>
        </w:rPr>
      </w:pPr>
      <w:r w:rsidRPr="00296B34">
        <w:rPr>
          <w:rFonts w:ascii="Calibri" w:hAnsi="Calibri"/>
        </w:rPr>
        <w:t>You can register for the portal and start your application at any time during the process</w:t>
      </w:r>
      <w:r w:rsidRPr="00296B34">
        <w:rPr>
          <w:rFonts w:ascii="Calibri" w:hAnsi="Calibri"/>
          <w:color w:val="222222"/>
        </w:rPr>
        <w:t xml:space="preserve">, but please keep in mind that there may be a </w:t>
      </w:r>
      <w:r>
        <w:rPr>
          <w:rFonts w:ascii="Calibri" w:hAnsi="Calibri"/>
          <w:color w:val="222222"/>
        </w:rPr>
        <w:t>specific</w:t>
      </w:r>
      <w:r w:rsidRPr="00296B34">
        <w:rPr>
          <w:rFonts w:ascii="Calibri" w:hAnsi="Calibri"/>
          <w:color w:val="222222"/>
        </w:rPr>
        <w:t xml:space="preserve"> timeframe during which you may </w:t>
      </w:r>
      <w:r w:rsidRPr="00296B34">
        <w:rPr>
          <w:rFonts w:ascii="Calibri" w:hAnsi="Calibri"/>
          <w:i/>
          <w:color w:val="222222"/>
        </w:rPr>
        <w:t>submit</w:t>
      </w:r>
      <w:r w:rsidRPr="00296B34">
        <w:rPr>
          <w:rFonts w:ascii="Calibri" w:hAnsi="Calibri"/>
          <w:color w:val="222222"/>
        </w:rPr>
        <w:t xml:space="preserve"> your application</w:t>
      </w:r>
      <w:r w:rsidRPr="00296B34">
        <w:rPr>
          <w:rFonts w:ascii="Calibri" w:hAnsi="Calibri"/>
        </w:rPr>
        <w:t>.</w:t>
      </w:r>
    </w:p>
    <w:p w14:paraId="31A1DBFF" w14:textId="77777777" w:rsidR="009B2821" w:rsidRPr="00296B34" w:rsidRDefault="009B2821" w:rsidP="009B2821">
      <w:pPr>
        <w:widowControl/>
        <w:numPr>
          <w:ilvl w:val="0"/>
          <w:numId w:val="30"/>
        </w:numPr>
        <w:rPr>
          <w:rFonts w:ascii="Calibri" w:hAnsi="Calibri"/>
        </w:rPr>
      </w:pPr>
      <w:r w:rsidRPr="00296B34">
        <w:rPr>
          <w:rFonts w:ascii="Calibri" w:hAnsi="Calibri"/>
        </w:rPr>
        <w:t>You can save your application and return to it at any time prior to submission. The only field you need to complete to save your application is the Project Title.</w:t>
      </w:r>
    </w:p>
    <w:p w14:paraId="2981A34C" w14:textId="77777777" w:rsidR="009B2821" w:rsidRPr="00296B34" w:rsidRDefault="009B2821" w:rsidP="009B2821">
      <w:pPr>
        <w:widowControl/>
        <w:numPr>
          <w:ilvl w:val="0"/>
          <w:numId w:val="30"/>
        </w:numPr>
        <w:rPr>
          <w:rFonts w:ascii="Calibri" w:hAnsi="Calibri"/>
        </w:rPr>
      </w:pPr>
      <w:r w:rsidRPr="00A77139">
        <w:rPr>
          <w:rFonts w:ascii="Calibri" w:hAnsi="Calibri"/>
          <w:b/>
        </w:rPr>
        <w:t xml:space="preserve">To access your application after you’ve started it, login at </w:t>
      </w:r>
      <w:hyperlink r:id="rId12" w:history="1">
        <w:r w:rsidRPr="00A77139">
          <w:rPr>
            <w:rStyle w:val="Hyperlink"/>
            <w:rFonts w:ascii="Calibri" w:hAnsi="Calibri"/>
          </w:rPr>
          <w:t>http://tinyurl.com/GOCOGranteePortal</w:t>
        </w:r>
      </w:hyperlink>
      <w:r w:rsidRPr="00A77139">
        <w:rPr>
          <w:rFonts w:ascii="Calibri" w:hAnsi="Calibri"/>
          <w:b/>
        </w:rPr>
        <w:t>.</w:t>
      </w:r>
      <w:r w:rsidRPr="00117161">
        <w:rPr>
          <w:rFonts w:ascii="Calibri" w:hAnsi="Calibri"/>
        </w:rPr>
        <w:t xml:space="preserve"> (You cannot use this link to start a new application; instead use the link in paragraph </w:t>
      </w:r>
      <w:r>
        <w:rPr>
          <w:rFonts w:ascii="Calibri" w:hAnsi="Calibri"/>
        </w:rPr>
        <w:t>3</w:t>
      </w:r>
      <w:r w:rsidRPr="00117161">
        <w:rPr>
          <w:rFonts w:ascii="Calibri" w:hAnsi="Calibri"/>
        </w:rPr>
        <w:t xml:space="preserve"> above.)</w:t>
      </w:r>
    </w:p>
    <w:p w14:paraId="6D627665" w14:textId="77777777" w:rsidR="009B2821" w:rsidRPr="00296B34" w:rsidRDefault="009B2821" w:rsidP="009B2821">
      <w:pPr>
        <w:widowControl/>
        <w:numPr>
          <w:ilvl w:val="0"/>
          <w:numId w:val="30"/>
        </w:numPr>
        <w:rPr>
          <w:rFonts w:ascii="Calibri" w:hAnsi="Calibri"/>
        </w:rPr>
      </w:pPr>
      <w:r w:rsidRPr="00296B34">
        <w:rPr>
          <w:rFonts w:ascii="Calibri" w:hAnsi="Calibri"/>
        </w:rPr>
        <w:lastRenderedPageBreak/>
        <w:t xml:space="preserve">To edit an in-process application, click the icon in the “Edit” column of the portal dashboard. It looks like this: </w:t>
      </w:r>
      <w:r w:rsidRPr="00296B34">
        <w:rPr>
          <w:rFonts w:ascii="Calibri" w:hAnsi="Calibri"/>
          <w:noProof/>
        </w:rPr>
        <w:drawing>
          <wp:inline distT="0" distB="0" distL="0" distR="0" wp14:anchorId="74EBDAD5" wp14:editId="17371D36">
            <wp:extent cx="152400" cy="152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64EE15" w14:textId="77777777" w:rsidR="009B2821" w:rsidRPr="00296B34" w:rsidRDefault="009B2821" w:rsidP="009B2821">
      <w:pPr>
        <w:widowControl/>
        <w:numPr>
          <w:ilvl w:val="0"/>
          <w:numId w:val="30"/>
        </w:numPr>
        <w:rPr>
          <w:rFonts w:ascii="Calibri" w:hAnsi="Calibri"/>
        </w:rPr>
      </w:pPr>
      <w:r w:rsidRPr="00296B34">
        <w:rPr>
          <w:rFonts w:ascii="Calibri" w:hAnsi="Calibri"/>
        </w:rPr>
        <w:t xml:space="preserve">To see a read-only version of your application, click the icon in the “View” column. It looks like this: </w:t>
      </w:r>
      <w:r w:rsidRPr="00296B34">
        <w:rPr>
          <w:rFonts w:ascii="Calibri" w:hAnsi="Calibri"/>
          <w:noProof/>
        </w:rPr>
        <w:drawing>
          <wp:inline distT="0" distB="0" distL="0" distR="0" wp14:anchorId="38684F99" wp14:editId="14C27627">
            <wp:extent cx="161925"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p>
    <w:p w14:paraId="3C0EA353" w14:textId="77777777" w:rsidR="009B2821" w:rsidRPr="00296B34" w:rsidRDefault="009B2821" w:rsidP="009B2821">
      <w:pPr>
        <w:widowControl/>
        <w:numPr>
          <w:ilvl w:val="0"/>
          <w:numId w:val="30"/>
        </w:numPr>
        <w:rPr>
          <w:rFonts w:ascii="Calibri" w:hAnsi="Calibri"/>
        </w:rPr>
      </w:pPr>
      <w:r w:rsidRPr="00296B34">
        <w:rPr>
          <w:rFonts w:ascii="Calibri" w:hAnsi="Calibri"/>
        </w:rPr>
        <w:t xml:space="preserve">When working on or viewing an application, you can return to the portal dashboard by clicking the “My Submissions” link. (Just be sure to </w:t>
      </w:r>
      <w:r w:rsidRPr="00296B34">
        <w:rPr>
          <w:rFonts w:ascii="Calibri" w:hAnsi="Calibri"/>
          <w:u w:val="single"/>
        </w:rPr>
        <w:t>save</w:t>
      </w:r>
      <w:r w:rsidRPr="00296B34">
        <w:rPr>
          <w:rFonts w:ascii="Calibri" w:hAnsi="Calibri"/>
        </w:rPr>
        <w:t xml:space="preserve"> your application first!)</w:t>
      </w:r>
    </w:p>
    <w:p w14:paraId="189C7F32" w14:textId="77777777" w:rsidR="009B2821" w:rsidRPr="00296B34" w:rsidRDefault="009B2821" w:rsidP="009B2821">
      <w:pPr>
        <w:widowControl/>
        <w:numPr>
          <w:ilvl w:val="0"/>
          <w:numId w:val="30"/>
        </w:numPr>
        <w:rPr>
          <w:rFonts w:ascii="Calibri" w:hAnsi="Calibri"/>
        </w:rPr>
      </w:pPr>
      <w:r w:rsidRPr="00296B34">
        <w:rPr>
          <w:rFonts w:ascii="Calibri" w:hAnsi="Calibri"/>
        </w:rPr>
        <w:t>If you forget your portal username or password, please don’t create a new portal account. Instead:</w:t>
      </w:r>
    </w:p>
    <w:p w14:paraId="46C8650D" w14:textId="77777777" w:rsidR="009B2821" w:rsidRPr="00296B34" w:rsidRDefault="009B2821" w:rsidP="009B2821">
      <w:pPr>
        <w:widowControl/>
        <w:numPr>
          <w:ilvl w:val="1"/>
          <w:numId w:val="30"/>
        </w:numPr>
        <w:rPr>
          <w:rFonts w:ascii="Calibri" w:hAnsi="Calibri"/>
        </w:rPr>
      </w:pPr>
      <w:r w:rsidRPr="00296B34">
        <w:rPr>
          <w:rFonts w:ascii="Calibri" w:hAnsi="Calibri"/>
        </w:rPr>
        <w:t xml:space="preserve">To recover your username, send an e-mail from the address you used during registration to </w:t>
      </w:r>
      <w:hyperlink r:id="rId15" w:history="1">
        <w:r w:rsidRPr="00296B34">
          <w:rPr>
            <w:rStyle w:val="Hyperlink"/>
            <w:rFonts w:ascii="Calibri" w:hAnsi="Calibri"/>
          </w:rPr>
          <w:t>portal@goco.org</w:t>
        </w:r>
      </w:hyperlink>
      <w:r w:rsidRPr="00296B34">
        <w:rPr>
          <w:rFonts w:ascii="Calibri" w:hAnsi="Calibri"/>
        </w:rPr>
        <w:t>. Include the first name, last name, and organization you used when you registered for the portal.</w:t>
      </w:r>
    </w:p>
    <w:p w14:paraId="10D96CEE" w14:textId="77777777" w:rsidR="009B2821" w:rsidRPr="00296B34" w:rsidRDefault="009B2821" w:rsidP="009B2821">
      <w:pPr>
        <w:widowControl/>
        <w:numPr>
          <w:ilvl w:val="1"/>
          <w:numId w:val="30"/>
        </w:numPr>
        <w:rPr>
          <w:rFonts w:ascii="Calibri" w:hAnsi="Calibri"/>
        </w:rPr>
      </w:pPr>
      <w:r w:rsidRPr="00296B34">
        <w:rPr>
          <w:rFonts w:ascii="Calibri" w:hAnsi="Calibri"/>
        </w:rPr>
        <w:t xml:space="preserve">If you forget your password, re-set it </w:t>
      </w:r>
      <w:proofErr w:type="gramStart"/>
      <w:r w:rsidRPr="00296B34">
        <w:rPr>
          <w:rFonts w:ascii="Calibri" w:hAnsi="Calibri"/>
        </w:rPr>
        <w:t>using</w:t>
      </w:r>
      <w:proofErr w:type="gramEnd"/>
      <w:r w:rsidRPr="00296B34">
        <w:rPr>
          <w:rFonts w:ascii="Calibri" w:hAnsi="Calibri"/>
        </w:rPr>
        <w:t xml:space="preserve"> the “Can’t access your account?” link on the portal login page.</w:t>
      </w:r>
    </w:p>
    <w:p w14:paraId="0034ABB3" w14:textId="77777777" w:rsidR="009B2821" w:rsidRPr="00296B34" w:rsidRDefault="009B2821" w:rsidP="009B2821">
      <w:pPr>
        <w:widowControl/>
        <w:numPr>
          <w:ilvl w:val="0"/>
          <w:numId w:val="30"/>
        </w:numPr>
        <w:rPr>
          <w:rFonts w:ascii="Calibri" w:hAnsi="Calibri"/>
        </w:rPr>
      </w:pPr>
      <w:r w:rsidRPr="00296B34">
        <w:rPr>
          <w:rFonts w:ascii="Calibri" w:hAnsi="Calibri"/>
        </w:rPr>
        <w:t xml:space="preserve">A grant application started on or submitted through the portal is visible only to the individual who created it; no one else at your organization will be able to access it without being granted permission to do so. If someone else needs to be able to access the online application, have </w:t>
      </w:r>
      <w:r>
        <w:rPr>
          <w:rFonts w:ascii="Calibri" w:hAnsi="Calibri"/>
        </w:rPr>
        <w:t>that person</w:t>
      </w:r>
      <w:r w:rsidRPr="00296B34">
        <w:rPr>
          <w:rFonts w:ascii="Calibri" w:hAnsi="Calibri"/>
        </w:rPr>
        <w:t xml:space="preserve"> establish a portal account. Then, you can e-mail </w:t>
      </w:r>
      <w:hyperlink r:id="rId16" w:history="1">
        <w:r w:rsidRPr="00296B34">
          <w:rPr>
            <w:rStyle w:val="Hyperlink"/>
            <w:rFonts w:ascii="Calibri" w:hAnsi="Calibri"/>
          </w:rPr>
          <w:t>portal@goco.org</w:t>
        </w:r>
      </w:hyperlink>
      <w:r w:rsidRPr="00296B34">
        <w:rPr>
          <w:rFonts w:ascii="Calibri" w:hAnsi="Calibri"/>
        </w:rPr>
        <w:t xml:space="preserve"> and ask that the application be shared with the other person.</w:t>
      </w:r>
    </w:p>
    <w:p w14:paraId="7FAB9F35" w14:textId="77777777" w:rsidR="009B2821" w:rsidRPr="00870A44" w:rsidRDefault="009B2821" w:rsidP="009B2821">
      <w:pPr>
        <w:rPr>
          <w:rFonts w:ascii="Calibri" w:hAnsi="Calibri"/>
          <w:color w:val="4F6228"/>
        </w:rPr>
      </w:pPr>
      <w:r w:rsidRPr="00296B34">
        <w:rPr>
          <w:rFonts w:ascii="Calibri" w:hAnsi="Calibri"/>
        </w:rPr>
        <w:br w:type="page"/>
      </w:r>
    </w:p>
    <w:tbl>
      <w:tblPr>
        <w:tblW w:w="5123" w:type="pct"/>
        <w:jc w:val="right"/>
        <w:shd w:val="clear" w:color="auto" w:fill="566423"/>
        <w:tblLayout w:type="fixed"/>
        <w:tblCellMar>
          <w:top w:w="115" w:type="dxa"/>
          <w:left w:w="115" w:type="dxa"/>
          <w:bottom w:w="115" w:type="dxa"/>
          <w:right w:w="115" w:type="dxa"/>
        </w:tblCellMar>
        <w:tblLook w:val="04A0" w:firstRow="1" w:lastRow="0" w:firstColumn="1" w:lastColumn="0" w:noHBand="0" w:noVBand="1"/>
      </w:tblPr>
      <w:tblGrid>
        <w:gridCol w:w="2442"/>
        <w:gridCol w:w="7148"/>
      </w:tblGrid>
      <w:tr w:rsidR="004D537B" w:rsidRPr="00B145DB" w14:paraId="3EAE210B" w14:textId="77777777" w:rsidTr="004D537B">
        <w:trPr>
          <w:trHeight w:hRule="exact" w:val="1132"/>
          <w:jc w:val="right"/>
        </w:trPr>
        <w:tc>
          <w:tcPr>
            <w:tcW w:w="1273" w:type="pct"/>
            <w:tcBorders>
              <w:right w:val="single" w:sz="4" w:space="0" w:color="FFFFFF" w:themeColor="background1"/>
            </w:tcBorders>
            <w:shd w:val="clear" w:color="auto" w:fill="566423"/>
            <w:vAlign w:val="center"/>
          </w:tcPr>
          <w:p w14:paraId="115A9DBE" w14:textId="77777777" w:rsidR="004D537B" w:rsidRDefault="004D537B" w:rsidP="00712AB1">
            <w:pPr>
              <w:pStyle w:val="Header"/>
              <w:ind w:left="-30"/>
              <w:jc w:val="center"/>
              <w:rPr>
                <w:caps/>
                <w:color w:val="FFFFFF" w:themeColor="background1"/>
              </w:rPr>
            </w:pPr>
            <w:bookmarkStart w:id="1" w:name="_Hlk10543682"/>
            <w:r>
              <w:rPr>
                <w:caps/>
                <w:noProof/>
                <w:snapToGrid/>
                <w:color w:val="FFFFFF" w:themeColor="background1"/>
              </w:rPr>
              <w:lastRenderedPageBreak/>
              <w:drawing>
                <wp:inline distT="0" distB="0" distL="0" distR="0" wp14:anchorId="39367844" wp14:editId="79B0974D">
                  <wp:extent cx="1241492" cy="338328"/>
                  <wp:effectExtent l="0" t="0" r="0" b="5080"/>
                  <wp:docPr id="48" name="Picture 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CO_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92" cy="338328"/>
                          </a:xfrm>
                          <a:prstGeom prst="rect">
                            <a:avLst/>
                          </a:prstGeom>
                        </pic:spPr>
                      </pic:pic>
                    </a:graphicData>
                  </a:graphic>
                </wp:inline>
              </w:drawing>
            </w:r>
          </w:p>
        </w:tc>
        <w:tc>
          <w:tcPr>
            <w:tcW w:w="3727" w:type="pct"/>
            <w:tcBorders>
              <w:left w:val="single" w:sz="4" w:space="0" w:color="FFFFFF" w:themeColor="background1"/>
            </w:tcBorders>
            <w:shd w:val="clear" w:color="auto" w:fill="566423"/>
            <w:vAlign w:val="center"/>
          </w:tcPr>
          <w:p w14:paraId="5C623593" w14:textId="3D961A27" w:rsidR="004D537B" w:rsidRPr="00B145DB" w:rsidRDefault="004D537B" w:rsidP="00712AB1">
            <w:pPr>
              <w:pStyle w:val="Header"/>
              <w:jc w:val="right"/>
              <w:rPr>
                <w:caps/>
                <w:smallCaps/>
                <w:color w:val="FFFFFF" w:themeColor="background1"/>
              </w:rPr>
            </w:pPr>
            <w:r>
              <w:rPr>
                <w:rFonts w:ascii="Rockwell" w:hAnsi="Rockwell" w:cs="Arial"/>
                <w:b/>
                <w:smallCaps/>
                <w:color w:val="FFFFFF" w:themeColor="background1"/>
                <w:sz w:val="34"/>
                <w:szCs w:val="34"/>
              </w:rPr>
              <w:t>II. Instructions for Completing GOCO’s Open Space Grant Application</w:t>
            </w:r>
            <w:r w:rsidRPr="00B145DB">
              <w:rPr>
                <w:caps/>
                <w:smallCaps/>
                <w:color w:val="FFFFFF" w:themeColor="background1"/>
              </w:rPr>
              <w:t xml:space="preserve"> </w:t>
            </w:r>
          </w:p>
        </w:tc>
      </w:tr>
      <w:bookmarkEnd w:id="1"/>
    </w:tbl>
    <w:p w14:paraId="53DB6168" w14:textId="77777777" w:rsidR="0044510E" w:rsidRDefault="0044510E" w:rsidP="009B2821">
      <w:pPr>
        <w:numPr>
          <w:ilvl w:val="12"/>
          <w:numId w:val="0"/>
        </w:numPr>
        <w:ind w:right="144"/>
        <w:rPr>
          <w:rFonts w:ascii="Calibri" w:hAnsi="Calibri"/>
          <w:b/>
          <w:color w:val="4F6228"/>
        </w:rPr>
      </w:pPr>
    </w:p>
    <w:p w14:paraId="7BB8F3E5" w14:textId="1532AB1E" w:rsidR="009B2821" w:rsidRPr="008E22F8" w:rsidRDefault="009B2821" w:rsidP="009B2821">
      <w:pPr>
        <w:numPr>
          <w:ilvl w:val="12"/>
          <w:numId w:val="0"/>
        </w:numPr>
        <w:ind w:right="144"/>
        <w:rPr>
          <w:rFonts w:ascii="Calibri" w:hAnsi="Calibri"/>
          <w:b/>
          <w:color w:val="4F6228"/>
        </w:rPr>
      </w:pPr>
      <w:r w:rsidRPr="008C0F14">
        <w:rPr>
          <w:rFonts w:ascii="Calibri" w:hAnsi="Calibri"/>
          <w:b/>
          <w:color w:val="4F6228"/>
        </w:rPr>
        <w:t>SUMMARY FORM INSTRUCTIONS</w:t>
      </w:r>
    </w:p>
    <w:p w14:paraId="0171861E" w14:textId="77777777" w:rsidR="009B2821" w:rsidRPr="00296B34" w:rsidRDefault="009B2821" w:rsidP="009B2821">
      <w:pPr>
        <w:numPr>
          <w:ilvl w:val="12"/>
          <w:numId w:val="0"/>
        </w:numPr>
        <w:ind w:left="720" w:right="144" w:hanging="720"/>
        <w:rPr>
          <w:rFonts w:ascii="Calibri" w:hAnsi="Calibri"/>
          <w:b/>
        </w:rPr>
      </w:pPr>
    </w:p>
    <w:p w14:paraId="66C8B7B9" w14:textId="5ECAC1E1" w:rsidR="009B2821" w:rsidRPr="00B03C0A" w:rsidRDefault="004D537B" w:rsidP="0044510E">
      <w:pPr>
        <w:contextualSpacing/>
        <w:rPr>
          <w:rFonts w:asciiTheme="minorHAnsi" w:hAnsiTheme="minorHAnsi" w:cstheme="minorHAnsi"/>
          <w:b/>
          <w:color w:val="4F6228" w:themeColor="accent3" w:themeShade="80"/>
          <w:sz w:val="22"/>
          <w:szCs w:val="22"/>
        </w:rPr>
      </w:pPr>
      <w:r w:rsidRPr="00B03C0A">
        <w:rPr>
          <w:rFonts w:asciiTheme="minorHAnsi" w:hAnsiTheme="minorHAnsi" w:cstheme="minorHAnsi"/>
          <w:b/>
          <w:color w:val="4F6228" w:themeColor="accent3" w:themeShade="80"/>
          <w:sz w:val="22"/>
          <w:szCs w:val="22"/>
        </w:rPr>
        <w:t>PARTICIPANT INFORMATION</w:t>
      </w:r>
      <w:r w:rsidR="0044510E" w:rsidRPr="00B03C0A">
        <w:rPr>
          <w:rFonts w:asciiTheme="minorHAnsi" w:hAnsiTheme="minorHAnsi" w:cstheme="minorHAnsi"/>
          <w:b/>
          <w:color w:val="4F6228" w:themeColor="accent3" w:themeShade="80"/>
          <w:sz w:val="22"/>
          <w:szCs w:val="22"/>
        </w:rPr>
        <w:t>:</w:t>
      </w:r>
    </w:p>
    <w:p w14:paraId="237CAE34" w14:textId="77777777" w:rsidR="0044510E" w:rsidRPr="00B03C0A" w:rsidRDefault="0044510E" w:rsidP="0044510E">
      <w:pPr>
        <w:contextualSpacing/>
        <w:rPr>
          <w:rFonts w:asciiTheme="minorHAnsi" w:hAnsiTheme="minorHAnsi" w:cstheme="minorHAnsi"/>
          <w:b/>
          <w:color w:val="4F6228" w:themeColor="accent3" w:themeShade="80"/>
          <w:sz w:val="22"/>
          <w:szCs w:val="22"/>
        </w:rPr>
      </w:pPr>
    </w:p>
    <w:p w14:paraId="3D3D2187" w14:textId="77777777" w:rsidR="009B2821" w:rsidRPr="00B03C0A" w:rsidRDefault="009B2821" w:rsidP="004D537B">
      <w:pPr>
        <w:ind w:left="720" w:right="144"/>
        <w:contextualSpacing/>
        <w:rPr>
          <w:rFonts w:asciiTheme="minorHAnsi" w:hAnsiTheme="minorHAnsi" w:cstheme="minorHAnsi"/>
          <w:sz w:val="22"/>
          <w:szCs w:val="22"/>
        </w:rPr>
      </w:pPr>
      <w:r w:rsidRPr="00B03C0A">
        <w:rPr>
          <w:rFonts w:asciiTheme="minorHAnsi" w:hAnsiTheme="minorHAnsi" w:cstheme="minorHAnsi"/>
          <w:b/>
          <w:sz w:val="22"/>
          <w:szCs w:val="22"/>
        </w:rPr>
        <w:t>Applicant:</w:t>
      </w:r>
      <w:r w:rsidRPr="00B03C0A">
        <w:rPr>
          <w:rFonts w:asciiTheme="minorHAnsi" w:hAnsiTheme="minorHAnsi" w:cstheme="minorHAnsi"/>
          <w:sz w:val="22"/>
          <w:szCs w:val="22"/>
        </w:rPr>
        <w:t xml:space="preserve"> The applicant contact will be GOCO’s main contact for this project and the grantee, if awarded.</w:t>
      </w:r>
    </w:p>
    <w:p w14:paraId="6D3C1267" w14:textId="77777777" w:rsidR="009B2821" w:rsidRPr="00B03C0A" w:rsidRDefault="009B2821" w:rsidP="004D537B">
      <w:pPr>
        <w:tabs>
          <w:tab w:val="left" w:pos="-1440"/>
        </w:tabs>
        <w:ind w:left="720" w:right="144"/>
        <w:contextualSpacing/>
        <w:rPr>
          <w:rFonts w:asciiTheme="minorHAnsi" w:hAnsiTheme="minorHAnsi" w:cstheme="minorHAnsi"/>
          <w:b/>
          <w:sz w:val="22"/>
          <w:szCs w:val="22"/>
        </w:rPr>
      </w:pPr>
    </w:p>
    <w:p w14:paraId="349AFBDF" w14:textId="77777777" w:rsidR="009B2821" w:rsidRPr="00B03C0A" w:rsidRDefault="009B2821" w:rsidP="004D537B">
      <w:pPr>
        <w:tabs>
          <w:tab w:val="left" w:pos="-1440"/>
        </w:tabs>
        <w:ind w:left="720" w:right="144"/>
        <w:contextualSpacing/>
        <w:rPr>
          <w:rFonts w:asciiTheme="minorHAnsi" w:hAnsiTheme="minorHAnsi" w:cstheme="minorHAnsi"/>
          <w:sz w:val="22"/>
          <w:szCs w:val="22"/>
        </w:rPr>
      </w:pPr>
      <w:r w:rsidRPr="00B03C0A">
        <w:rPr>
          <w:rFonts w:asciiTheme="minorHAnsi" w:hAnsiTheme="minorHAnsi" w:cstheme="minorHAnsi"/>
          <w:b/>
          <w:sz w:val="22"/>
          <w:szCs w:val="22"/>
        </w:rPr>
        <w:t>Partner:</w:t>
      </w:r>
      <w:r w:rsidRPr="00B03C0A">
        <w:rPr>
          <w:rFonts w:asciiTheme="minorHAnsi" w:hAnsiTheme="minorHAnsi" w:cstheme="minorHAnsi"/>
          <w:sz w:val="22"/>
          <w:szCs w:val="22"/>
        </w:rPr>
        <w:t xml:space="preserve"> If another entity plans to participate in the project, or is co-sponsoring the application, enter the name, address, and contact information for the cooperating entity.</w:t>
      </w:r>
    </w:p>
    <w:p w14:paraId="38BD56A1" w14:textId="77777777" w:rsidR="009B2821" w:rsidRPr="00B03C0A" w:rsidRDefault="009B2821" w:rsidP="004D537B">
      <w:pPr>
        <w:ind w:right="144"/>
        <w:contextualSpacing/>
        <w:rPr>
          <w:rFonts w:asciiTheme="minorHAnsi" w:hAnsiTheme="minorHAnsi" w:cstheme="minorHAnsi"/>
          <w:sz w:val="22"/>
          <w:szCs w:val="22"/>
        </w:rPr>
      </w:pPr>
    </w:p>
    <w:p w14:paraId="52B1364E" w14:textId="3C57B9F4" w:rsidR="009B2821" w:rsidRPr="00B03C0A" w:rsidRDefault="0044510E" w:rsidP="0044510E">
      <w:pPr>
        <w:contextualSpacing/>
        <w:rPr>
          <w:rFonts w:asciiTheme="minorHAnsi" w:hAnsiTheme="minorHAnsi" w:cstheme="minorHAnsi"/>
          <w:sz w:val="22"/>
          <w:szCs w:val="22"/>
          <w:u w:val="single"/>
        </w:rPr>
      </w:pPr>
      <w:r w:rsidRPr="00B03C0A">
        <w:rPr>
          <w:rFonts w:asciiTheme="minorHAnsi" w:hAnsiTheme="minorHAnsi" w:cstheme="minorHAnsi"/>
          <w:b/>
          <w:color w:val="4F6228" w:themeColor="accent3" w:themeShade="80"/>
          <w:sz w:val="22"/>
          <w:szCs w:val="22"/>
        </w:rPr>
        <w:t>PROJECT INFORMATION:</w:t>
      </w:r>
    </w:p>
    <w:p w14:paraId="737D23AD" w14:textId="77777777" w:rsidR="009B2821" w:rsidRPr="00B03C0A" w:rsidRDefault="009B2821" w:rsidP="004D537B">
      <w:pPr>
        <w:tabs>
          <w:tab w:val="left" w:pos="-1440"/>
        </w:tabs>
        <w:ind w:right="144"/>
        <w:contextualSpacing/>
        <w:rPr>
          <w:rFonts w:asciiTheme="minorHAnsi" w:hAnsiTheme="minorHAnsi" w:cstheme="minorHAnsi"/>
          <w:sz w:val="22"/>
          <w:szCs w:val="22"/>
        </w:rPr>
      </w:pPr>
    </w:p>
    <w:p w14:paraId="22CE9FC8" w14:textId="77777777" w:rsidR="009B2821" w:rsidRPr="00B03C0A" w:rsidRDefault="009B2821" w:rsidP="004D53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heme="minorHAnsi" w:hAnsiTheme="minorHAnsi" w:cstheme="minorHAnsi"/>
          <w:b/>
          <w:sz w:val="22"/>
          <w:szCs w:val="22"/>
        </w:rPr>
      </w:pPr>
      <w:r w:rsidRPr="00B03C0A">
        <w:rPr>
          <w:rFonts w:asciiTheme="minorHAnsi" w:hAnsiTheme="minorHAnsi" w:cstheme="minorHAnsi"/>
          <w:b/>
          <w:sz w:val="22"/>
          <w:szCs w:val="22"/>
        </w:rPr>
        <w:t xml:space="preserve">Project Title. </w:t>
      </w:r>
      <w:r w:rsidRPr="00B03C0A">
        <w:rPr>
          <w:rFonts w:asciiTheme="minorHAnsi" w:hAnsiTheme="minorHAnsi" w:cstheme="minorHAnsi"/>
          <w:sz w:val="22"/>
          <w:szCs w:val="22"/>
        </w:rPr>
        <w:t xml:space="preserve">Enter the title of the proposed project, e.g., "Fraser Valley Open Space Land Acquisition." </w:t>
      </w:r>
      <w:r w:rsidRPr="00B03C0A">
        <w:rPr>
          <w:rFonts w:asciiTheme="minorHAnsi" w:hAnsiTheme="minorHAnsi" w:cstheme="minorHAnsi"/>
          <w:sz w:val="22"/>
          <w:szCs w:val="22"/>
          <w:u w:val="single"/>
        </w:rPr>
        <w:t xml:space="preserve">Note: this title will be used in all press releases, reports, and other public documents. If you are concerned about confidentiality, select a project title that is descriptive but does not reveal the exact property or landowner name, and </w:t>
      </w:r>
      <w:r w:rsidRPr="00B03C0A">
        <w:rPr>
          <w:rFonts w:asciiTheme="minorHAnsi" w:hAnsiTheme="minorHAnsi" w:cstheme="minorHAnsi"/>
          <w:i/>
          <w:sz w:val="22"/>
          <w:szCs w:val="22"/>
          <w:u w:val="single"/>
        </w:rPr>
        <w:t>please inform GOCO of the confidential nature of the project</w:t>
      </w:r>
      <w:r w:rsidRPr="00B03C0A">
        <w:rPr>
          <w:rFonts w:asciiTheme="minorHAnsi" w:hAnsiTheme="minorHAnsi" w:cstheme="minorHAnsi"/>
          <w:sz w:val="22"/>
          <w:szCs w:val="22"/>
        </w:rPr>
        <w:t xml:space="preserve">. </w:t>
      </w:r>
    </w:p>
    <w:p w14:paraId="6BD47FEA" w14:textId="77777777" w:rsidR="009B2821" w:rsidRPr="00B03C0A" w:rsidRDefault="009B2821" w:rsidP="004D53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heme="minorHAnsi" w:hAnsiTheme="minorHAnsi" w:cstheme="minorHAnsi"/>
          <w:b/>
          <w:sz w:val="22"/>
          <w:szCs w:val="22"/>
        </w:rPr>
      </w:pPr>
    </w:p>
    <w:p w14:paraId="523C200E" w14:textId="77777777" w:rsidR="009B2821" w:rsidRPr="00B03C0A" w:rsidRDefault="009B2821" w:rsidP="004D537B">
      <w:pPr>
        <w:ind w:left="720"/>
        <w:contextualSpacing/>
        <w:rPr>
          <w:rFonts w:asciiTheme="minorHAnsi" w:hAnsiTheme="minorHAnsi" w:cstheme="minorHAnsi"/>
          <w:sz w:val="22"/>
          <w:szCs w:val="22"/>
        </w:rPr>
      </w:pPr>
      <w:r w:rsidRPr="00B03C0A">
        <w:rPr>
          <w:rFonts w:asciiTheme="minorHAnsi" w:hAnsiTheme="minorHAnsi" w:cstheme="minorHAnsi"/>
          <w:b/>
          <w:sz w:val="22"/>
          <w:szCs w:val="22"/>
        </w:rPr>
        <w:t>Legal Fees.</w:t>
      </w:r>
      <w:r w:rsidRPr="00B03C0A">
        <w:rPr>
          <w:rFonts w:asciiTheme="minorHAnsi" w:hAnsiTheme="minorHAnsi" w:cstheme="minorHAnsi"/>
          <w:sz w:val="22"/>
          <w:szCs w:val="22"/>
        </w:rPr>
        <w:t xml:space="preserve"> If you anticipate spending more than $15,000 on legal fees for your project or for each individual property within a project, please explain the anticipated complexities that necessitate fees this high. This does not mean that GOCO will not pay for higher legal fees or count them as match.</w:t>
      </w:r>
    </w:p>
    <w:p w14:paraId="67A6903A" w14:textId="77777777" w:rsidR="009B2821" w:rsidRPr="00B03C0A" w:rsidRDefault="009B2821" w:rsidP="004D537B">
      <w:pPr>
        <w:ind w:left="360"/>
        <w:contextualSpacing/>
        <w:rPr>
          <w:rFonts w:asciiTheme="minorHAnsi" w:hAnsiTheme="minorHAnsi" w:cstheme="minorHAnsi"/>
          <w:sz w:val="22"/>
          <w:szCs w:val="22"/>
        </w:rPr>
      </w:pPr>
      <w:r w:rsidRPr="00B03C0A">
        <w:rPr>
          <w:rFonts w:asciiTheme="minorHAnsi" w:hAnsiTheme="minorHAnsi" w:cstheme="minorHAnsi"/>
          <w:sz w:val="22"/>
          <w:szCs w:val="22"/>
        </w:rPr>
        <w:tab/>
      </w:r>
    </w:p>
    <w:p w14:paraId="7BF7E46C" w14:textId="6F1DF23F" w:rsidR="009B2821" w:rsidRPr="00B03C0A" w:rsidRDefault="0044510E" w:rsidP="0044510E">
      <w:pPr>
        <w:contextualSpacing/>
        <w:rPr>
          <w:rFonts w:asciiTheme="minorHAnsi" w:hAnsiTheme="minorHAnsi" w:cstheme="minorHAnsi"/>
          <w:sz w:val="22"/>
          <w:szCs w:val="22"/>
          <w:u w:val="single"/>
        </w:rPr>
      </w:pPr>
      <w:r w:rsidRPr="00B03C0A">
        <w:rPr>
          <w:rFonts w:asciiTheme="minorHAnsi" w:hAnsiTheme="minorHAnsi" w:cstheme="minorHAnsi"/>
          <w:b/>
          <w:color w:val="4F6228" w:themeColor="accent3" w:themeShade="80"/>
          <w:sz w:val="22"/>
          <w:szCs w:val="22"/>
        </w:rPr>
        <w:t>CERTIFICATION AND AUTHORIZED SIGNATURE:</w:t>
      </w:r>
    </w:p>
    <w:p w14:paraId="7002FDE4" w14:textId="77777777" w:rsidR="009B2821" w:rsidRPr="00B03C0A" w:rsidRDefault="009B2821" w:rsidP="004D537B">
      <w:pPr>
        <w:keepNext/>
        <w:contextualSpacing/>
        <w:rPr>
          <w:rFonts w:asciiTheme="minorHAnsi" w:hAnsiTheme="minorHAnsi" w:cstheme="minorHAnsi"/>
          <w:sz w:val="22"/>
          <w:szCs w:val="22"/>
          <w:u w:val="single"/>
        </w:rPr>
      </w:pPr>
    </w:p>
    <w:p w14:paraId="3DD2FB01" w14:textId="77777777" w:rsidR="009B2821" w:rsidRPr="00B03C0A" w:rsidRDefault="009B2821" w:rsidP="004D537B">
      <w:pPr>
        <w:widowControl/>
        <w:numPr>
          <w:ilvl w:val="0"/>
          <w:numId w:val="28"/>
        </w:numPr>
        <w:tabs>
          <w:tab w:val="left" w:pos="-1440"/>
          <w:tab w:val="left" w:pos="1080"/>
        </w:tabs>
        <w:ind w:left="1080" w:right="144"/>
        <w:contextualSpacing/>
        <w:rPr>
          <w:rFonts w:asciiTheme="minorHAnsi" w:hAnsiTheme="minorHAnsi" w:cstheme="minorHAnsi"/>
          <w:b/>
          <w:sz w:val="22"/>
          <w:szCs w:val="22"/>
        </w:rPr>
      </w:pPr>
      <w:r w:rsidRPr="00B03C0A">
        <w:rPr>
          <w:rFonts w:asciiTheme="minorHAnsi" w:hAnsiTheme="minorHAnsi" w:cstheme="minorHAnsi"/>
          <w:sz w:val="22"/>
          <w:szCs w:val="22"/>
        </w:rPr>
        <w:t>GOCO requires this certification be signed before open space funds can be awarded. The person signing the certification must be authorized to sign for the applicant.</w:t>
      </w:r>
    </w:p>
    <w:p w14:paraId="7C1AA08D" w14:textId="27B62270" w:rsidR="0044510E" w:rsidRPr="00B03C0A" w:rsidRDefault="009B2821" w:rsidP="00B03C0A">
      <w:pPr>
        <w:widowControl/>
        <w:numPr>
          <w:ilvl w:val="0"/>
          <w:numId w:val="28"/>
        </w:numPr>
        <w:tabs>
          <w:tab w:val="left" w:pos="-1440"/>
          <w:tab w:val="left" w:pos="1080"/>
        </w:tabs>
        <w:ind w:left="1080" w:right="144"/>
        <w:contextualSpacing/>
        <w:rPr>
          <w:rFonts w:asciiTheme="minorHAnsi" w:hAnsiTheme="minorHAnsi" w:cstheme="minorHAnsi"/>
          <w:b/>
          <w:sz w:val="22"/>
          <w:szCs w:val="22"/>
        </w:rPr>
      </w:pPr>
      <w:bookmarkStart w:id="2" w:name="_Hlk7596232"/>
      <w:r w:rsidRPr="00B03C0A">
        <w:rPr>
          <w:rFonts w:asciiTheme="minorHAnsi" w:hAnsiTheme="minorHAnsi" w:cstheme="minorHAnsi"/>
          <w:bCs/>
          <w:sz w:val="22"/>
          <w:szCs w:val="22"/>
        </w:rPr>
        <w:t>The Colorado Constitution prohibits GOCO from awarding grants to state agencies where condemnation will be used, and it is GOCO’s practice not to participate in any land acquisition projects involving condemnation, regardless of the applicant. If condemnation proceedings become an aspect of a project, even after an award has been made, GOCO will rescind the award and will not fund the project.</w:t>
      </w:r>
      <w:bookmarkEnd w:id="2"/>
    </w:p>
    <w:p w14:paraId="0A4BB385" w14:textId="77777777" w:rsidR="0044510E" w:rsidRPr="00B03C0A" w:rsidRDefault="0044510E" w:rsidP="0044510E">
      <w:pPr>
        <w:numPr>
          <w:ilvl w:val="12"/>
          <w:numId w:val="0"/>
        </w:numPr>
        <w:ind w:right="144"/>
        <w:rPr>
          <w:rFonts w:asciiTheme="minorHAnsi" w:hAnsiTheme="minorHAnsi" w:cstheme="minorHAnsi"/>
          <w:b/>
          <w:color w:val="4F6228"/>
          <w:sz w:val="22"/>
          <w:szCs w:val="22"/>
        </w:rPr>
      </w:pPr>
    </w:p>
    <w:p w14:paraId="58E15434" w14:textId="77777777" w:rsidR="00B03C0A" w:rsidRDefault="00B03C0A">
      <w:pPr>
        <w:widowControl/>
        <w:spacing w:after="200" w:line="276" w:lineRule="auto"/>
        <w:rPr>
          <w:rFonts w:asciiTheme="minorHAnsi" w:hAnsiTheme="minorHAnsi" w:cstheme="minorHAnsi"/>
          <w:b/>
          <w:color w:val="4F6228"/>
          <w:sz w:val="22"/>
          <w:szCs w:val="22"/>
        </w:rPr>
      </w:pPr>
      <w:r>
        <w:rPr>
          <w:rFonts w:asciiTheme="minorHAnsi" w:hAnsiTheme="minorHAnsi" w:cstheme="minorHAnsi"/>
          <w:b/>
          <w:color w:val="4F6228"/>
          <w:sz w:val="22"/>
          <w:szCs w:val="22"/>
        </w:rPr>
        <w:br w:type="page"/>
      </w:r>
    </w:p>
    <w:p w14:paraId="7640A5EC" w14:textId="1153DA10" w:rsidR="009B2821" w:rsidRPr="00B03C0A" w:rsidRDefault="009B2821" w:rsidP="0044510E">
      <w:pPr>
        <w:numPr>
          <w:ilvl w:val="12"/>
          <w:numId w:val="0"/>
        </w:numPr>
        <w:ind w:right="144"/>
        <w:rPr>
          <w:rFonts w:asciiTheme="minorHAnsi" w:hAnsiTheme="minorHAnsi" w:cstheme="minorHAnsi"/>
          <w:b/>
          <w:color w:val="4F6228"/>
          <w:szCs w:val="24"/>
        </w:rPr>
      </w:pPr>
      <w:r w:rsidRPr="00B03C0A">
        <w:rPr>
          <w:rFonts w:asciiTheme="minorHAnsi" w:hAnsiTheme="minorHAnsi" w:cstheme="minorHAnsi"/>
          <w:b/>
          <w:color w:val="4F6228"/>
          <w:szCs w:val="24"/>
        </w:rPr>
        <w:lastRenderedPageBreak/>
        <w:t>SELECTION CRITERIA INSTRUCTIONS</w:t>
      </w:r>
    </w:p>
    <w:p w14:paraId="292A3444" w14:textId="77777777" w:rsidR="009B2821" w:rsidRPr="00B03C0A" w:rsidRDefault="009B2821" w:rsidP="004D537B">
      <w:pPr>
        <w:pStyle w:val="Heading5"/>
        <w:widowControl w:val="0"/>
        <w:tabs>
          <w:tab w:val="left" w:pos="-1440"/>
          <w:tab w:val="left" w:pos="1080"/>
        </w:tabs>
        <w:contextualSpacing/>
        <w:rPr>
          <w:rFonts w:asciiTheme="minorHAnsi" w:hAnsiTheme="minorHAnsi" w:cstheme="minorHAnsi"/>
          <w:b w:val="0"/>
          <w:sz w:val="22"/>
          <w:szCs w:val="22"/>
        </w:rPr>
      </w:pPr>
    </w:p>
    <w:p w14:paraId="5323CCF9" w14:textId="77777777" w:rsidR="009B2821" w:rsidRPr="00B03C0A" w:rsidRDefault="009B2821" w:rsidP="004D537B">
      <w:pPr>
        <w:pStyle w:val="Heading5"/>
        <w:tabs>
          <w:tab w:val="left" w:pos="-1440"/>
          <w:tab w:val="left" w:pos="1080"/>
        </w:tabs>
        <w:contextualSpacing/>
        <w:rPr>
          <w:rFonts w:asciiTheme="minorHAnsi" w:hAnsiTheme="minorHAnsi" w:cstheme="minorHAnsi"/>
          <w:b w:val="0"/>
          <w:sz w:val="22"/>
          <w:szCs w:val="22"/>
        </w:rPr>
      </w:pPr>
      <w:r w:rsidRPr="00B03C0A">
        <w:rPr>
          <w:rFonts w:asciiTheme="minorHAnsi" w:hAnsiTheme="minorHAnsi" w:cstheme="minorHAnsi"/>
          <w:b w:val="0"/>
          <w:sz w:val="22"/>
          <w:szCs w:val="22"/>
        </w:rPr>
        <w:t>The Colorado Constitution directs GOCO to create “A program to identify, acquire and manage unique open space and natural areas of statewide significance through grants to the Colorado Divisions of Parks and Outdoor Recreation and Wildlife, or municipalities, counties, or other political subdivision of the State, or non-profit land conservation organizations, and which will encourage cooperative investments by other public or private entities for these purposes.” The selection criteria questions are designed to prioritize projects with unique open space and natural areas of statewide significance. Keep this in mind when answering the questions in the Project Values and Benefits section (</w:t>
      </w:r>
      <w:r w:rsidRPr="00B03C0A">
        <w:rPr>
          <w:rFonts w:asciiTheme="minorHAnsi" w:hAnsiTheme="minorHAnsi" w:cstheme="minorHAnsi"/>
          <w:sz w:val="22"/>
          <w:szCs w:val="22"/>
        </w:rPr>
        <w:t>Selection Criteria A</w:t>
      </w:r>
      <w:r w:rsidRPr="00B03C0A">
        <w:rPr>
          <w:rFonts w:asciiTheme="minorHAnsi" w:hAnsiTheme="minorHAnsi" w:cstheme="minorHAnsi"/>
          <w:b w:val="0"/>
          <w:sz w:val="22"/>
          <w:szCs w:val="22"/>
        </w:rPr>
        <w:t>).</w:t>
      </w:r>
    </w:p>
    <w:p w14:paraId="1F7B561C" w14:textId="77777777" w:rsidR="009B2821" w:rsidRPr="00B03C0A" w:rsidRDefault="009B2821" w:rsidP="004D537B">
      <w:pPr>
        <w:contextualSpacing/>
        <w:rPr>
          <w:rFonts w:asciiTheme="minorHAnsi" w:hAnsiTheme="minorHAnsi" w:cstheme="minorHAnsi"/>
          <w:sz w:val="22"/>
          <w:szCs w:val="22"/>
        </w:rPr>
      </w:pPr>
    </w:p>
    <w:p w14:paraId="59A327FE"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sz w:val="22"/>
          <w:szCs w:val="22"/>
        </w:rPr>
        <w:t>Other questions of note:</w:t>
      </w:r>
    </w:p>
    <w:p w14:paraId="63422179" w14:textId="77777777" w:rsidR="009B2821" w:rsidRPr="00B03C0A" w:rsidRDefault="009B2821" w:rsidP="004D537B">
      <w:pPr>
        <w:pStyle w:val="Heading5"/>
        <w:widowControl w:val="0"/>
        <w:tabs>
          <w:tab w:val="left" w:pos="-1440"/>
          <w:tab w:val="left" w:pos="1080"/>
        </w:tabs>
        <w:contextualSpacing/>
        <w:rPr>
          <w:rFonts w:asciiTheme="minorHAnsi" w:hAnsiTheme="minorHAnsi" w:cstheme="minorHAnsi"/>
          <w:sz w:val="22"/>
          <w:szCs w:val="22"/>
        </w:rPr>
      </w:pPr>
    </w:p>
    <w:p w14:paraId="7352C99A" w14:textId="245A0218" w:rsidR="009B2821" w:rsidRPr="00B03C0A" w:rsidRDefault="0044510E" w:rsidP="0044510E">
      <w:pPr>
        <w:numPr>
          <w:ilvl w:val="12"/>
          <w:numId w:val="0"/>
        </w:numPr>
        <w:ind w:right="144"/>
        <w:rPr>
          <w:rFonts w:asciiTheme="minorHAnsi" w:hAnsiTheme="minorHAnsi" w:cstheme="minorHAnsi"/>
          <w:sz w:val="22"/>
          <w:szCs w:val="22"/>
        </w:rPr>
      </w:pPr>
      <w:r w:rsidRPr="00B03C0A">
        <w:rPr>
          <w:rFonts w:asciiTheme="minorHAnsi" w:hAnsiTheme="minorHAnsi" w:cstheme="minorHAnsi"/>
          <w:b/>
          <w:color w:val="4F6228"/>
          <w:sz w:val="22"/>
          <w:szCs w:val="22"/>
        </w:rPr>
        <w:t xml:space="preserve">SELECTION CRITERIA B – RESERVED RIGHTS AND PROPERTY USES:  </w:t>
      </w:r>
      <w:r w:rsidR="009B2821" w:rsidRPr="00B03C0A">
        <w:rPr>
          <w:rFonts w:asciiTheme="minorHAnsi" w:hAnsiTheme="minorHAnsi" w:cstheme="minorHAnsi"/>
          <w:sz w:val="22"/>
          <w:szCs w:val="22"/>
        </w:rPr>
        <w:t xml:space="preserve">When an easement is being purchased to preserve agricultural lands, existing activities directly supporting the operation of the ranch can typically continue in the same general manner after an easement has been granted. However, activities that are inconsistent with GOCO’s open space program must discontinue.  </w:t>
      </w:r>
    </w:p>
    <w:p w14:paraId="4A0CFEC6" w14:textId="77777777" w:rsidR="009B2821" w:rsidRPr="00B03C0A" w:rsidRDefault="009B2821" w:rsidP="004D537B">
      <w:pPr>
        <w:tabs>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pPr>
    </w:p>
    <w:p w14:paraId="6F96C612"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Public Access:</w:t>
      </w:r>
      <w:r w:rsidRPr="00B03C0A">
        <w:rPr>
          <w:rFonts w:asciiTheme="minorHAnsi" w:hAnsiTheme="minorHAnsi" w:cstheme="minorHAnsi"/>
          <w:sz w:val="22"/>
          <w:szCs w:val="22"/>
        </w:rPr>
        <w:t xml:space="preserve"> GOCO recognizes that public access may not always be appropriate on private property. Access can come in several different forms and usually does not mean general access for the public to the entire property. Hunting or fishing leases through an outfitter, guided wildlife watching tours, a parking area off the road where the public can stop to read information and see the property and landscape, fruit and vegetable stands, hiking trails, and other limited access that is in some way open to the public are all examples of access on the property. GOCO encourages its applicants to have a conversation with the landowner about the possibility of access opportunities. Please include any access that the landowner currently allows as well as any new proposed access activities that the easement will allow.</w:t>
      </w:r>
    </w:p>
    <w:p w14:paraId="0639A012" w14:textId="77777777" w:rsidR="009B2821" w:rsidRPr="00B03C0A" w:rsidRDefault="009B2821" w:rsidP="004D537B">
      <w:pPr>
        <w:tabs>
          <w:tab w:val="left" w:pos="3210"/>
        </w:tabs>
        <w:contextualSpacing/>
        <w:rPr>
          <w:rFonts w:asciiTheme="minorHAnsi" w:hAnsiTheme="minorHAnsi" w:cstheme="minorHAnsi"/>
          <w:sz w:val="22"/>
          <w:szCs w:val="22"/>
        </w:rPr>
      </w:pPr>
      <w:r w:rsidRPr="00B03C0A">
        <w:rPr>
          <w:rFonts w:asciiTheme="minorHAnsi" w:hAnsiTheme="minorHAnsi" w:cstheme="minorHAnsi"/>
          <w:sz w:val="22"/>
          <w:szCs w:val="22"/>
        </w:rPr>
        <w:tab/>
      </w:r>
    </w:p>
    <w:p w14:paraId="6BBE8C02" w14:textId="77777777" w:rsidR="009B2821" w:rsidRPr="00B03C0A" w:rsidRDefault="009B2821" w:rsidP="004D537B">
      <w:pPr>
        <w:tabs>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sectPr w:rsidR="009B2821" w:rsidRPr="00B03C0A" w:rsidSect="004B7ED1">
          <w:headerReference w:type="default" r:id="rId17"/>
          <w:footerReference w:type="default" r:id="rId18"/>
          <w:headerReference w:type="first" r:id="rId19"/>
          <w:type w:val="continuous"/>
          <w:pgSz w:w="12240" w:h="15840"/>
          <w:pgMar w:top="1440" w:right="1440" w:bottom="1440" w:left="1440" w:header="720" w:footer="720" w:gutter="0"/>
          <w:cols w:space="720"/>
          <w:titlePg/>
          <w:docGrid w:linePitch="360"/>
        </w:sectPr>
      </w:pPr>
      <w:r w:rsidRPr="00B03C0A">
        <w:rPr>
          <w:rFonts w:asciiTheme="minorHAnsi" w:hAnsiTheme="minorHAnsi" w:cstheme="minorHAnsi"/>
          <w:b/>
          <w:color w:val="4F6228"/>
          <w:sz w:val="22"/>
          <w:szCs w:val="22"/>
        </w:rPr>
        <w:t>Building Envelopes and Reserved Development Rights:</w:t>
      </w:r>
      <w:r w:rsidRPr="00B03C0A">
        <w:rPr>
          <w:rFonts w:asciiTheme="minorHAnsi" w:hAnsiTheme="minorHAnsi" w:cstheme="minorHAnsi"/>
          <w:b/>
          <w:sz w:val="22"/>
          <w:szCs w:val="22"/>
        </w:rPr>
        <w:t xml:space="preserve"> </w:t>
      </w:r>
      <w:r w:rsidRPr="00B03C0A">
        <w:rPr>
          <w:rFonts w:asciiTheme="minorHAnsi" w:hAnsiTheme="minorHAnsi" w:cstheme="minorHAnsi"/>
          <w:sz w:val="22"/>
          <w:szCs w:val="22"/>
        </w:rPr>
        <w:t xml:space="preserve">GOCO understands that the number of allowed building envelopes and buildings or other structures are often the subject of negotiations with the landowner that are not yet complete. However, it is important for GOCO to know what the maximum allowed number of envelopes and buildings or other structures will be in order to assess the potential impact on the conservation values. If the number and size of the envelopes or other areas containing structures have not yet been determined, please maximize the number and size that would be allowed in the easement since it is always easier to decrease the reserved rights than increase them. For dispersed structures that might exist or be allowed outside of a building envelope or area, such as hunting cabins, loafing sheds, small agricultural improvements, etc., please describe all such structures and any limitations imposed upon them by the conservation easement. Please note that if your project is awarded a grant, the GOCO Board is approving these reserved rights as proposed in the application. Any changes to the proposed development rights will have to be approved by GOCO and could result in a reduction or rescission of the grant award. See example Reserved Development Rights table on the following page. </w:t>
      </w:r>
    </w:p>
    <w:p w14:paraId="080E0EC8" w14:textId="77777777" w:rsidR="009B2821" w:rsidRPr="00B03C0A" w:rsidRDefault="009B2821" w:rsidP="004D537B">
      <w:pPr>
        <w:pStyle w:val="a"/>
        <w:widowControl/>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rPr>
          <w:rFonts w:asciiTheme="minorHAnsi" w:hAnsiTheme="minorHAnsi" w:cstheme="minorHAnsi"/>
          <w:sz w:val="22"/>
          <w:szCs w:val="22"/>
        </w:rPr>
      </w:pPr>
    </w:p>
    <w:tbl>
      <w:tblPr>
        <w:tblpPr w:leftFromText="180" w:rightFromText="180" w:vertAnchor="text" w:horzAnchor="margin" w:tblpXSpec="center" w:tblpY="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80"/>
        <w:gridCol w:w="2880"/>
        <w:gridCol w:w="2880"/>
        <w:gridCol w:w="2880"/>
        <w:gridCol w:w="2880"/>
      </w:tblGrid>
      <w:tr w:rsidR="009B2821" w:rsidRPr="00B03C0A" w14:paraId="1BD20D48" w14:textId="77777777" w:rsidTr="0044510E">
        <w:trPr>
          <w:cantSplit/>
        </w:trPr>
        <w:tc>
          <w:tcPr>
            <w:tcW w:w="2880" w:type="dxa"/>
          </w:tcPr>
          <w:p w14:paraId="1E59D16B" w14:textId="77777777" w:rsidR="009B2821" w:rsidRPr="00B03C0A" w:rsidRDefault="009B2821" w:rsidP="0044510E">
            <w:pPr>
              <w:tabs>
                <w:tab w:val="left" w:pos="720"/>
              </w:tabs>
              <w:ind w:left="288" w:right="288"/>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Envelope or Area Name</w:t>
            </w:r>
          </w:p>
        </w:tc>
        <w:tc>
          <w:tcPr>
            <w:tcW w:w="2880" w:type="dxa"/>
          </w:tcPr>
          <w:p w14:paraId="76C3C9A3" w14:textId="4733D684" w:rsidR="009B2821" w:rsidRPr="00B03C0A" w:rsidRDefault="009B2821" w:rsidP="0044510E">
            <w:pPr>
              <w:tabs>
                <w:tab w:val="left" w:pos="720"/>
              </w:tabs>
              <w:ind w:left="288" w:right="288"/>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Number and Kind of Existing</w:t>
            </w:r>
            <w:r w:rsidR="0044510E" w:rsidRPr="00B03C0A">
              <w:rPr>
                <w:rFonts w:asciiTheme="minorHAnsi" w:hAnsiTheme="minorHAnsi" w:cstheme="minorHAnsi"/>
                <w:b/>
                <w:color w:val="4F6228"/>
                <w:sz w:val="22"/>
                <w:szCs w:val="22"/>
              </w:rPr>
              <w:t xml:space="preserve"> </w:t>
            </w:r>
            <w:r w:rsidRPr="00B03C0A">
              <w:rPr>
                <w:rFonts w:asciiTheme="minorHAnsi" w:hAnsiTheme="minorHAnsi" w:cstheme="minorHAnsi"/>
                <w:b/>
                <w:color w:val="4F6228"/>
                <w:sz w:val="22"/>
                <w:szCs w:val="22"/>
              </w:rPr>
              <w:t>Structures</w:t>
            </w:r>
          </w:p>
        </w:tc>
        <w:tc>
          <w:tcPr>
            <w:tcW w:w="2880" w:type="dxa"/>
          </w:tcPr>
          <w:p w14:paraId="501B7544" w14:textId="77777777" w:rsidR="009B2821" w:rsidRPr="00B03C0A" w:rsidRDefault="009B2821" w:rsidP="0044510E">
            <w:pPr>
              <w:tabs>
                <w:tab w:val="left" w:pos="720"/>
              </w:tabs>
              <w:ind w:left="288" w:right="288"/>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 xml:space="preserve">Number and Kind </w:t>
            </w:r>
          </w:p>
          <w:p w14:paraId="486E7FB4" w14:textId="77777777" w:rsidR="009B2821" w:rsidRPr="00B03C0A" w:rsidRDefault="009B2821" w:rsidP="0044510E">
            <w:pPr>
              <w:tabs>
                <w:tab w:val="left" w:pos="720"/>
              </w:tabs>
              <w:ind w:left="288" w:right="288"/>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of Additional Structures</w:t>
            </w:r>
          </w:p>
        </w:tc>
        <w:tc>
          <w:tcPr>
            <w:tcW w:w="2880" w:type="dxa"/>
          </w:tcPr>
          <w:p w14:paraId="5225F99A" w14:textId="77777777" w:rsidR="009B2821" w:rsidRPr="00B03C0A" w:rsidRDefault="009B2821" w:rsidP="0044510E">
            <w:pPr>
              <w:tabs>
                <w:tab w:val="left" w:pos="720"/>
              </w:tabs>
              <w:ind w:left="288" w:right="288"/>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Size of Envelope or Area (acreage)</w:t>
            </w:r>
          </w:p>
        </w:tc>
        <w:tc>
          <w:tcPr>
            <w:tcW w:w="2880" w:type="dxa"/>
          </w:tcPr>
          <w:p w14:paraId="15E5614A" w14:textId="77777777" w:rsidR="009B2821" w:rsidRPr="00B03C0A" w:rsidRDefault="009B2821" w:rsidP="0044510E">
            <w:pPr>
              <w:tabs>
                <w:tab w:val="left" w:pos="720"/>
              </w:tabs>
              <w:ind w:left="288" w:right="288"/>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Other Information</w:t>
            </w:r>
          </w:p>
        </w:tc>
      </w:tr>
      <w:tr w:rsidR="009B2821" w:rsidRPr="00B03C0A" w14:paraId="5AD2A627" w14:textId="77777777" w:rsidTr="0044510E">
        <w:trPr>
          <w:cantSplit/>
        </w:trPr>
        <w:tc>
          <w:tcPr>
            <w:tcW w:w="2880" w:type="dxa"/>
          </w:tcPr>
          <w:p w14:paraId="64543BE0"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 xml:space="preserve">Building </w:t>
            </w:r>
            <w:proofErr w:type="gramStart"/>
            <w:r w:rsidRPr="00B03C0A">
              <w:rPr>
                <w:rFonts w:asciiTheme="minorHAnsi" w:hAnsiTheme="minorHAnsi" w:cstheme="minorHAnsi"/>
                <w:sz w:val="22"/>
                <w:szCs w:val="22"/>
              </w:rPr>
              <w:t>Envelope</w:t>
            </w:r>
            <w:proofErr w:type="gramEnd"/>
            <w:r w:rsidRPr="00B03C0A">
              <w:rPr>
                <w:rFonts w:asciiTheme="minorHAnsi" w:hAnsiTheme="minorHAnsi" w:cstheme="minorHAnsi"/>
                <w:sz w:val="22"/>
                <w:szCs w:val="22"/>
              </w:rPr>
              <w:t xml:space="preserve"> A</w:t>
            </w:r>
          </w:p>
        </w:tc>
        <w:tc>
          <w:tcPr>
            <w:tcW w:w="2880" w:type="dxa"/>
          </w:tcPr>
          <w:p w14:paraId="0E89ED79"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residential structure plus garage</w:t>
            </w:r>
          </w:p>
          <w:p w14:paraId="5C68006A"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Ag structures</w:t>
            </w:r>
          </w:p>
        </w:tc>
        <w:tc>
          <w:tcPr>
            <w:tcW w:w="2880" w:type="dxa"/>
          </w:tcPr>
          <w:p w14:paraId="1CE4CAF6"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caretaker unit</w:t>
            </w:r>
          </w:p>
          <w:p w14:paraId="104AFACA"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residential structure</w:t>
            </w:r>
          </w:p>
          <w:p w14:paraId="2783CC6F"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Ag structures</w:t>
            </w:r>
          </w:p>
        </w:tc>
        <w:tc>
          <w:tcPr>
            <w:tcW w:w="2880" w:type="dxa"/>
          </w:tcPr>
          <w:p w14:paraId="064688E2"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12 acres</w:t>
            </w:r>
          </w:p>
        </w:tc>
        <w:tc>
          <w:tcPr>
            <w:tcW w:w="2880" w:type="dxa"/>
          </w:tcPr>
          <w:p w14:paraId="5AFDEF50"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Contains existing ranch headquarters</w:t>
            </w:r>
          </w:p>
        </w:tc>
      </w:tr>
      <w:tr w:rsidR="009B2821" w:rsidRPr="00B03C0A" w14:paraId="140CA4D0" w14:textId="77777777" w:rsidTr="0044510E">
        <w:trPr>
          <w:cantSplit/>
        </w:trPr>
        <w:tc>
          <w:tcPr>
            <w:tcW w:w="2880" w:type="dxa"/>
          </w:tcPr>
          <w:p w14:paraId="5E3D1B0E"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Building Envelope B</w:t>
            </w:r>
          </w:p>
        </w:tc>
        <w:tc>
          <w:tcPr>
            <w:tcW w:w="2880" w:type="dxa"/>
          </w:tcPr>
          <w:p w14:paraId="6943CFB6"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p>
        </w:tc>
        <w:tc>
          <w:tcPr>
            <w:tcW w:w="2880" w:type="dxa"/>
          </w:tcPr>
          <w:p w14:paraId="69845AF9"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residential structure plus garage</w:t>
            </w:r>
          </w:p>
          <w:p w14:paraId="15A2E4D7"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Ag structures</w:t>
            </w:r>
          </w:p>
          <w:p w14:paraId="2531D28A"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Riding arena</w:t>
            </w:r>
          </w:p>
        </w:tc>
        <w:tc>
          <w:tcPr>
            <w:tcW w:w="2880" w:type="dxa"/>
          </w:tcPr>
          <w:p w14:paraId="0366C816"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10 acres</w:t>
            </w:r>
          </w:p>
        </w:tc>
        <w:tc>
          <w:tcPr>
            <w:tcW w:w="2880" w:type="dxa"/>
          </w:tcPr>
          <w:p w14:paraId="1916A034"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Will be eliminated if Building Envelope C is chosen</w:t>
            </w:r>
          </w:p>
        </w:tc>
      </w:tr>
      <w:tr w:rsidR="009B2821" w:rsidRPr="00B03C0A" w14:paraId="5EB4E4E8" w14:textId="77777777" w:rsidTr="0044510E">
        <w:trPr>
          <w:cantSplit/>
        </w:trPr>
        <w:tc>
          <w:tcPr>
            <w:tcW w:w="2880" w:type="dxa"/>
          </w:tcPr>
          <w:p w14:paraId="441B82B3"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Building Envelope C</w:t>
            </w:r>
          </w:p>
        </w:tc>
        <w:tc>
          <w:tcPr>
            <w:tcW w:w="2880" w:type="dxa"/>
          </w:tcPr>
          <w:p w14:paraId="6E71DD46"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p>
        </w:tc>
        <w:tc>
          <w:tcPr>
            <w:tcW w:w="2880" w:type="dxa"/>
          </w:tcPr>
          <w:p w14:paraId="2142B4E0"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2 residential structures plus garages</w:t>
            </w:r>
          </w:p>
          <w:p w14:paraId="1721C554"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Ag structures</w:t>
            </w:r>
          </w:p>
        </w:tc>
        <w:tc>
          <w:tcPr>
            <w:tcW w:w="2880" w:type="dxa"/>
          </w:tcPr>
          <w:p w14:paraId="059BD3BA"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8 acres</w:t>
            </w:r>
          </w:p>
        </w:tc>
        <w:tc>
          <w:tcPr>
            <w:tcW w:w="2880" w:type="dxa"/>
          </w:tcPr>
          <w:p w14:paraId="4616407D"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Will be eliminated if Building Envelope B is chosen</w:t>
            </w:r>
          </w:p>
        </w:tc>
      </w:tr>
      <w:tr w:rsidR="009B2821" w:rsidRPr="00B03C0A" w14:paraId="14609896" w14:textId="77777777" w:rsidTr="0044510E">
        <w:trPr>
          <w:cantSplit/>
        </w:trPr>
        <w:tc>
          <w:tcPr>
            <w:tcW w:w="2880" w:type="dxa"/>
          </w:tcPr>
          <w:p w14:paraId="5CBE8EE4"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Workshop Envelope</w:t>
            </w:r>
          </w:p>
        </w:tc>
        <w:tc>
          <w:tcPr>
            <w:tcW w:w="2880" w:type="dxa"/>
          </w:tcPr>
          <w:p w14:paraId="157CAF46"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enclosed workshop structure</w:t>
            </w:r>
          </w:p>
          <w:p w14:paraId="6B5CE03A"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Ag structures</w:t>
            </w:r>
          </w:p>
        </w:tc>
        <w:tc>
          <w:tcPr>
            <w:tcW w:w="2880" w:type="dxa"/>
          </w:tcPr>
          <w:p w14:paraId="6512FC11"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p>
        </w:tc>
        <w:tc>
          <w:tcPr>
            <w:tcW w:w="2880" w:type="dxa"/>
          </w:tcPr>
          <w:p w14:paraId="245D00B4"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5 acres</w:t>
            </w:r>
          </w:p>
        </w:tc>
        <w:tc>
          <w:tcPr>
            <w:tcW w:w="2880" w:type="dxa"/>
          </w:tcPr>
          <w:p w14:paraId="1EF0BBC8"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Will be used for machinery, gasoline storage, other uses for maintaining ag equipment</w:t>
            </w:r>
          </w:p>
        </w:tc>
      </w:tr>
      <w:tr w:rsidR="009B2821" w:rsidRPr="00B03C0A" w14:paraId="5BC31D18" w14:textId="77777777" w:rsidTr="0044510E">
        <w:trPr>
          <w:cantSplit/>
        </w:trPr>
        <w:tc>
          <w:tcPr>
            <w:tcW w:w="2880" w:type="dxa"/>
          </w:tcPr>
          <w:p w14:paraId="58CA7D6B"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Corral Area</w:t>
            </w:r>
          </w:p>
        </w:tc>
        <w:tc>
          <w:tcPr>
            <w:tcW w:w="2880" w:type="dxa"/>
          </w:tcPr>
          <w:p w14:paraId="6B3A6449"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p>
        </w:tc>
        <w:tc>
          <w:tcPr>
            <w:tcW w:w="2880" w:type="dxa"/>
          </w:tcPr>
          <w:p w14:paraId="3A262C5F"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fenced horse corral</w:t>
            </w:r>
          </w:p>
        </w:tc>
        <w:tc>
          <w:tcPr>
            <w:tcW w:w="2880" w:type="dxa"/>
          </w:tcPr>
          <w:p w14:paraId="6581090F"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1 acre</w:t>
            </w:r>
          </w:p>
        </w:tc>
        <w:tc>
          <w:tcPr>
            <w:tcW w:w="2880" w:type="dxa"/>
          </w:tcPr>
          <w:p w14:paraId="22456868" w14:textId="77777777" w:rsidR="009B2821" w:rsidRPr="00B03C0A" w:rsidRDefault="009B2821" w:rsidP="0044510E">
            <w:pPr>
              <w:tabs>
                <w:tab w:val="left" w:pos="720"/>
              </w:tabs>
              <w:ind w:left="288" w:right="288"/>
              <w:contextualSpacing/>
              <w:rPr>
                <w:rFonts w:asciiTheme="minorHAnsi" w:hAnsiTheme="minorHAnsi" w:cstheme="minorHAnsi"/>
                <w:sz w:val="22"/>
                <w:szCs w:val="22"/>
              </w:rPr>
            </w:pPr>
            <w:r w:rsidRPr="00B03C0A">
              <w:rPr>
                <w:rFonts w:asciiTheme="minorHAnsi" w:hAnsiTheme="minorHAnsi" w:cstheme="minorHAnsi"/>
                <w:sz w:val="22"/>
                <w:szCs w:val="22"/>
              </w:rPr>
              <w:t>For horses on the property each summer</w:t>
            </w:r>
          </w:p>
        </w:tc>
      </w:tr>
    </w:tbl>
    <w:p w14:paraId="67400E36" w14:textId="77777777" w:rsidR="009B2821" w:rsidRPr="00B03C0A" w:rsidRDefault="009B2821" w:rsidP="004D537B">
      <w:pPr>
        <w:pStyle w:val="a"/>
        <w:widowControl/>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rPr>
          <w:rFonts w:asciiTheme="minorHAnsi" w:hAnsiTheme="minorHAnsi" w:cstheme="minorHAnsi"/>
          <w:sz w:val="22"/>
          <w:szCs w:val="22"/>
        </w:rPr>
      </w:pPr>
    </w:p>
    <w:p w14:paraId="1F6E2E6C" w14:textId="77777777" w:rsidR="009B2821" w:rsidRPr="00B03C0A" w:rsidRDefault="009B2821" w:rsidP="004D537B">
      <w:pPr>
        <w:pStyle w:val="a"/>
        <w:widowControl/>
        <w:tabs>
          <w:tab w:val="left" w:pos="-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rPr>
          <w:rFonts w:asciiTheme="minorHAnsi" w:hAnsiTheme="minorHAnsi" w:cstheme="minorHAnsi"/>
          <w:sz w:val="22"/>
          <w:szCs w:val="22"/>
        </w:rPr>
        <w:sectPr w:rsidR="009B2821" w:rsidRPr="00B03C0A" w:rsidSect="004D139B">
          <w:pgSz w:w="15840" w:h="12240" w:orient="landscape"/>
          <w:pgMar w:top="1440" w:right="1440" w:bottom="1440" w:left="1440" w:header="720" w:footer="720" w:gutter="0"/>
          <w:cols w:space="720"/>
          <w:docGrid w:linePitch="360"/>
        </w:sectPr>
      </w:pPr>
    </w:p>
    <w:p w14:paraId="60F7A1ED" w14:textId="70B7C491" w:rsidR="009B2821" w:rsidRPr="00B03C0A" w:rsidRDefault="00B03C0A" w:rsidP="00B03C0A">
      <w:pPr>
        <w:tabs>
          <w:tab w:val="left" w:pos="720"/>
        </w:tabs>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lastRenderedPageBreak/>
        <w:t>SELECTION CRITERIA C – TRANSACTION AND DUE DILIGENCE REQUIREMENTS:</w:t>
      </w:r>
    </w:p>
    <w:p w14:paraId="170BDFE3" w14:textId="77777777" w:rsidR="009B2821" w:rsidRPr="00B03C0A" w:rsidRDefault="009B2821" w:rsidP="004D537B">
      <w:pPr>
        <w:pStyle w:val="BodyTextIndent3"/>
        <w:spacing w:after="0"/>
        <w:ind w:left="0"/>
        <w:contextualSpacing/>
        <w:rPr>
          <w:rFonts w:asciiTheme="minorHAnsi" w:hAnsiTheme="minorHAnsi" w:cstheme="minorHAnsi"/>
          <w:b/>
          <w:bCs/>
          <w:sz w:val="22"/>
          <w:szCs w:val="22"/>
        </w:rPr>
      </w:pPr>
    </w:p>
    <w:p w14:paraId="3D98B253" w14:textId="77777777" w:rsidR="009B2821" w:rsidRPr="00B03C0A" w:rsidRDefault="009B2821" w:rsidP="004D537B">
      <w:pPr>
        <w:pStyle w:val="Header"/>
        <w:tabs>
          <w:tab w:val="clear" w:pos="4320"/>
          <w:tab w:val="clear" w:pos="8640"/>
        </w:tabs>
        <w:contextualSpacing/>
        <w:rPr>
          <w:rFonts w:asciiTheme="minorHAnsi" w:hAnsiTheme="minorHAnsi" w:cstheme="minorHAnsi"/>
          <w:sz w:val="22"/>
          <w:szCs w:val="22"/>
        </w:rPr>
      </w:pPr>
      <w:r w:rsidRPr="00B03C0A">
        <w:rPr>
          <w:rFonts w:asciiTheme="minorHAnsi" w:hAnsiTheme="minorHAnsi" w:cstheme="minorHAnsi"/>
          <w:b/>
          <w:color w:val="4F6228"/>
          <w:sz w:val="22"/>
          <w:szCs w:val="22"/>
        </w:rPr>
        <w:t>Transaction Details:</w:t>
      </w:r>
      <w:r w:rsidRPr="00B03C0A">
        <w:rPr>
          <w:rFonts w:asciiTheme="minorHAnsi" w:hAnsiTheme="minorHAnsi" w:cstheme="minorHAnsi"/>
          <w:sz w:val="22"/>
          <w:szCs w:val="22"/>
        </w:rPr>
        <w:t xml:space="preserve"> If the project is awarded funding, GOCO must ensure that all parts of the transaction, whether they receive funding or not, are completed in the correct form and order so that the transaction that has received GOCO funding will be legally valid. This includes sale of the property to another party, using this transaction as leverage for another transaction, completing an easement on another part of the property at the same time, or any other transaction that will occur simultaneously with or because of this transaction.</w:t>
      </w:r>
    </w:p>
    <w:p w14:paraId="25FDF019" w14:textId="77777777" w:rsidR="009B2821" w:rsidRPr="00B03C0A" w:rsidRDefault="009B2821" w:rsidP="004D537B">
      <w:pPr>
        <w:pStyle w:val="Header"/>
        <w:tabs>
          <w:tab w:val="clear" w:pos="4320"/>
          <w:tab w:val="clear" w:pos="8640"/>
        </w:tabs>
        <w:contextualSpacing/>
        <w:rPr>
          <w:rFonts w:asciiTheme="minorHAnsi" w:hAnsiTheme="minorHAnsi" w:cstheme="minorHAnsi"/>
          <w:sz w:val="22"/>
          <w:szCs w:val="22"/>
        </w:rPr>
      </w:pPr>
    </w:p>
    <w:p w14:paraId="19F0AFAC" w14:textId="77777777" w:rsidR="009B2821" w:rsidRPr="00B03C0A" w:rsidRDefault="009B2821" w:rsidP="004D537B">
      <w:pPr>
        <w:pStyle w:val="Heading5"/>
        <w:tabs>
          <w:tab w:val="left" w:pos="-1440"/>
          <w:tab w:val="left" w:pos="1080"/>
        </w:tabs>
        <w:contextualSpacing/>
        <w:rPr>
          <w:rFonts w:asciiTheme="minorHAnsi" w:hAnsiTheme="minorHAnsi" w:cstheme="minorHAnsi"/>
          <w:b w:val="0"/>
          <w:sz w:val="22"/>
          <w:szCs w:val="22"/>
        </w:rPr>
      </w:pPr>
      <w:r w:rsidRPr="00B03C0A">
        <w:rPr>
          <w:rFonts w:asciiTheme="minorHAnsi" w:hAnsiTheme="minorHAnsi" w:cstheme="minorHAnsi"/>
          <w:color w:val="4F6228"/>
          <w:sz w:val="22"/>
          <w:szCs w:val="22"/>
        </w:rPr>
        <w:t>Access:</w:t>
      </w:r>
      <w:r w:rsidRPr="00B03C0A">
        <w:rPr>
          <w:rFonts w:asciiTheme="minorHAnsi" w:hAnsiTheme="minorHAnsi" w:cstheme="minorHAnsi"/>
          <w:sz w:val="22"/>
          <w:szCs w:val="22"/>
        </w:rPr>
        <w:t xml:space="preserve"> </w:t>
      </w:r>
      <w:r w:rsidRPr="00B03C0A">
        <w:rPr>
          <w:rFonts w:asciiTheme="minorHAnsi" w:hAnsiTheme="minorHAnsi" w:cstheme="minorHAnsi"/>
          <w:b w:val="0"/>
          <w:sz w:val="22"/>
          <w:szCs w:val="22"/>
        </w:rPr>
        <w:t>Physical access relates to whether you can access a property in order to monitor it or easily get on it for the intended purpose. Legal access refers to the legal right to access the property, from a public road or an easement across an adjacent landowner’s property. If the title commitment for the subject property reflects a lack of legal access, GOCO will require this exception to title be removed as a condition for the disbursement of GOCO funds.</w:t>
      </w:r>
    </w:p>
    <w:p w14:paraId="419022FD" w14:textId="77777777" w:rsidR="009B2821" w:rsidRPr="00B03C0A" w:rsidRDefault="009B2821" w:rsidP="004D537B">
      <w:pPr>
        <w:contextualSpacing/>
        <w:rPr>
          <w:rFonts w:asciiTheme="minorHAnsi" w:hAnsiTheme="minorHAnsi" w:cstheme="minorHAnsi"/>
          <w:sz w:val="22"/>
          <w:szCs w:val="22"/>
        </w:rPr>
      </w:pPr>
    </w:p>
    <w:p w14:paraId="519B2504"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Environmental Hazards:</w:t>
      </w:r>
      <w:r w:rsidRPr="00B03C0A">
        <w:rPr>
          <w:rFonts w:asciiTheme="minorHAnsi" w:hAnsiTheme="minorHAnsi" w:cstheme="minorHAnsi"/>
          <w:b/>
          <w:sz w:val="22"/>
          <w:szCs w:val="22"/>
        </w:rPr>
        <w:t xml:space="preserve"> </w:t>
      </w:r>
      <w:r w:rsidRPr="00B03C0A">
        <w:rPr>
          <w:rFonts w:asciiTheme="minorHAnsi" w:hAnsiTheme="minorHAnsi" w:cstheme="minorHAnsi"/>
          <w:sz w:val="22"/>
          <w:szCs w:val="22"/>
        </w:rPr>
        <w:t xml:space="preserve">An environmental hazards assessment will be required prior to the disbursement of GOCO funds. A Transaction Screen Process may be all that is needed, or a Phase 1 or Phase 2 assessment may be required depending on the historic uses and existing circumstances on the property. The assessment is not necessary prior to submitting the application. </w:t>
      </w:r>
    </w:p>
    <w:p w14:paraId="47E7F3E1" w14:textId="77777777" w:rsidR="009B2821" w:rsidRPr="00B03C0A" w:rsidRDefault="009B2821" w:rsidP="004D537B">
      <w:pPr>
        <w:contextualSpacing/>
        <w:rPr>
          <w:rFonts w:asciiTheme="minorHAnsi" w:hAnsiTheme="minorHAnsi" w:cstheme="minorHAnsi"/>
          <w:sz w:val="22"/>
          <w:szCs w:val="22"/>
        </w:rPr>
      </w:pPr>
    </w:p>
    <w:p w14:paraId="2883C805"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Mineral Rights:</w:t>
      </w:r>
      <w:r w:rsidRPr="00B03C0A">
        <w:rPr>
          <w:rFonts w:asciiTheme="minorHAnsi" w:hAnsiTheme="minorHAnsi" w:cstheme="minorHAnsi"/>
          <w:b/>
          <w:sz w:val="22"/>
          <w:szCs w:val="22"/>
        </w:rPr>
        <w:t xml:space="preserve"> </w:t>
      </w:r>
      <w:r w:rsidRPr="00B03C0A">
        <w:rPr>
          <w:rFonts w:asciiTheme="minorHAnsi" w:hAnsiTheme="minorHAnsi" w:cstheme="minorHAnsi"/>
          <w:sz w:val="22"/>
          <w:szCs w:val="22"/>
        </w:rPr>
        <w:t xml:space="preserve">Any mineral severances will be described in a title commitment. We recommend </w:t>
      </w:r>
      <w:proofErr w:type="gramStart"/>
      <w:r w:rsidRPr="00B03C0A">
        <w:rPr>
          <w:rFonts w:asciiTheme="minorHAnsi" w:hAnsiTheme="minorHAnsi" w:cstheme="minorHAnsi"/>
          <w:sz w:val="22"/>
          <w:szCs w:val="22"/>
        </w:rPr>
        <w:t>you  discuss</w:t>
      </w:r>
      <w:proofErr w:type="gramEnd"/>
      <w:r w:rsidRPr="00B03C0A">
        <w:rPr>
          <w:rFonts w:asciiTheme="minorHAnsi" w:hAnsiTheme="minorHAnsi" w:cstheme="minorHAnsi"/>
          <w:sz w:val="22"/>
          <w:szCs w:val="22"/>
        </w:rPr>
        <w:t xml:space="preserve"> any severances with the landowner. If minerals are severed, a mineral remoteness report will be required prior to the disbursement of GOCO funds, but not prior to submitting the application. </w:t>
      </w:r>
    </w:p>
    <w:p w14:paraId="629D3404" w14:textId="77777777" w:rsidR="009B2821" w:rsidRPr="00B03C0A" w:rsidRDefault="009B2821" w:rsidP="004D537B">
      <w:pPr>
        <w:contextualSpacing/>
        <w:rPr>
          <w:rFonts w:asciiTheme="minorHAnsi" w:hAnsiTheme="minorHAnsi" w:cstheme="minorHAnsi"/>
          <w:sz w:val="22"/>
          <w:szCs w:val="22"/>
        </w:rPr>
      </w:pPr>
    </w:p>
    <w:p w14:paraId="43E1733E"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Water Rights:</w:t>
      </w:r>
      <w:r w:rsidRPr="00B03C0A">
        <w:rPr>
          <w:rFonts w:asciiTheme="minorHAnsi" w:hAnsiTheme="minorHAnsi" w:cstheme="minorHAnsi"/>
          <w:b/>
          <w:sz w:val="22"/>
          <w:szCs w:val="22"/>
        </w:rPr>
        <w:t xml:space="preserve"> </w:t>
      </w:r>
      <w:r w:rsidRPr="00B03C0A">
        <w:rPr>
          <w:rFonts w:asciiTheme="minorHAnsi" w:hAnsiTheme="minorHAnsi" w:cstheme="minorHAnsi"/>
          <w:sz w:val="22"/>
          <w:szCs w:val="22"/>
        </w:rPr>
        <w:t xml:space="preserve">If water rights are necessary to maintain the conservation values on a property, they must be encumbered by the conservation easement. This requires an adequate investigation of the water rights associated with the property. Please reference GOCO’s </w:t>
      </w:r>
      <w:hyperlink r:id="rId20" w:history="1">
        <w:r w:rsidRPr="00B03C0A">
          <w:rPr>
            <w:rStyle w:val="Hyperlink"/>
            <w:rFonts w:asciiTheme="minorHAnsi" w:hAnsiTheme="minorHAnsi" w:cstheme="minorHAnsi"/>
            <w:sz w:val="22"/>
            <w:szCs w:val="22"/>
          </w:rPr>
          <w:t>Land Acquisition</w:t>
        </w:r>
        <w:r w:rsidRPr="00B03C0A" w:rsidDel="00B201C4">
          <w:rPr>
            <w:rStyle w:val="Hyperlink"/>
            <w:rFonts w:asciiTheme="minorHAnsi" w:hAnsiTheme="minorHAnsi" w:cstheme="minorHAnsi"/>
            <w:sz w:val="22"/>
            <w:szCs w:val="22"/>
          </w:rPr>
          <w:t>s</w:t>
        </w:r>
        <w:r w:rsidRPr="00B03C0A">
          <w:rPr>
            <w:rStyle w:val="Hyperlink"/>
            <w:rFonts w:asciiTheme="minorHAnsi" w:hAnsiTheme="minorHAnsi" w:cstheme="minorHAnsi"/>
            <w:sz w:val="22"/>
            <w:szCs w:val="22"/>
          </w:rPr>
          <w:t xml:space="preserve"> Procedures</w:t>
        </w:r>
      </w:hyperlink>
      <w:r w:rsidRPr="00B03C0A">
        <w:rPr>
          <w:rFonts w:asciiTheme="minorHAnsi" w:hAnsiTheme="minorHAnsi" w:cstheme="minorHAnsi"/>
          <w:sz w:val="22"/>
          <w:szCs w:val="22"/>
        </w:rPr>
        <w:t xml:space="preserve"> for guidance on how to thoroughly complete a water rights investigation.</w:t>
      </w:r>
    </w:p>
    <w:p w14:paraId="3B0ED9AE" w14:textId="77777777" w:rsidR="009B2821" w:rsidRPr="00B03C0A" w:rsidRDefault="009B2821" w:rsidP="004D537B">
      <w:pPr>
        <w:contextualSpacing/>
        <w:rPr>
          <w:rFonts w:asciiTheme="minorHAnsi" w:hAnsiTheme="minorHAnsi" w:cstheme="minorHAnsi"/>
          <w:sz w:val="22"/>
          <w:szCs w:val="22"/>
        </w:rPr>
      </w:pPr>
    </w:p>
    <w:p w14:paraId="43C1BEFA"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sz w:val="22"/>
          <w:szCs w:val="22"/>
        </w:rPr>
        <w:t>For water rights that are represented by shares in a mutual ditch or reservoir company, C.R.S. § 38-30.5-104(5) contains very specific requirements for encumbering these water rights with a conservation easement. It states:</w:t>
      </w:r>
    </w:p>
    <w:p w14:paraId="7AC863B2" w14:textId="77777777" w:rsidR="009B2821" w:rsidRPr="00B03C0A" w:rsidRDefault="009B2821" w:rsidP="004D537B">
      <w:pPr>
        <w:contextualSpacing/>
        <w:rPr>
          <w:rFonts w:asciiTheme="minorHAnsi" w:hAnsiTheme="minorHAnsi" w:cstheme="minorHAnsi"/>
          <w:sz w:val="22"/>
          <w:szCs w:val="22"/>
        </w:rPr>
      </w:pPr>
    </w:p>
    <w:p w14:paraId="74A58C90" w14:textId="77777777" w:rsidR="009B2821" w:rsidRPr="00B03C0A" w:rsidRDefault="009B2821" w:rsidP="004D537B">
      <w:pPr>
        <w:ind w:left="720"/>
        <w:contextualSpacing/>
        <w:rPr>
          <w:rFonts w:asciiTheme="minorHAnsi" w:hAnsiTheme="minorHAnsi" w:cstheme="minorHAnsi"/>
          <w:sz w:val="22"/>
          <w:szCs w:val="22"/>
        </w:rPr>
      </w:pPr>
      <w:r w:rsidRPr="00B03C0A">
        <w:rPr>
          <w:rFonts w:asciiTheme="minorHAnsi" w:hAnsiTheme="minorHAnsi" w:cstheme="minorHAnsi"/>
          <w:sz w:val="22"/>
          <w:szCs w:val="22"/>
        </w:rPr>
        <w:t xml:space="preserve">If a water right is represented by shares in a mutual ditch or reservoir company, a conservation easement in gross that encumbers the water right may be created or revoked only after sixty days' notice and in accordance with the applicable requirements of the mutual ditch or reservoir company, including but not limited to its articles of incorporation and bylaws as amended from time to time. </w:t>
      </w:r>
    </w:p>
    <w:p w14:paraId="0E0E558B" w14:textId="77777777" w:rsidR="009B2821" w:rsidRPr="00B03C0A" w:rsidRDefault="009B2821" w:rsidP="004D537B">
      <w:pPr>
        <w:contextualSpacing/>
        <w:rPr>
          <w:rFonts w:asciiTheme="minorHAnsi" w:hAnsiTheme="minorHAnsi" w:cstheme="minorHAnsi"/>
          <w:sz w:val="22"/>
          <w:szCs w:val="22"/>
        </w:rPr>
      </w:pPr>
    </w:p>
    <w:p w14:paraId="56F47842"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sz w:val="22"/>
          <w:szCs w:val="22"/>
        </w:rPr>
        <w:t xml:space="preserve">Please be sure to explain what steps, if any, you have already taken to comply with this requirement. If no steps have been taken, please describe your plan to complete this requirement, including the timing. </w:t>
      </w:r>
    </w:p>
    <w:p w14:paraId="7BB64FBE" w14:textId="77777777" w:rsidR="009B2821" w:rsidRPr="00B03C0A" w:rsidRDefault="009B2821" w:rsidP="004D537B">
      <w:pPr>
        <w:contextualSpacing/>
        <w:rPr>
          <w:rFonts w:asciiTheme="minorHAnsi" w:hAnsiTheme="minorHAnsi" w:cstheme="minorHAnsi"/>
          <w:b/>
          <w:sz w:val="22"/>
          <w:szCs w:val="22"/>
        </w:rPr>
      </w:pPr>
    </w:p>
    <w:p w14:paraId="2FE8B021" w14:textId="27CBBD3A" w:rsidR="009B2821" w:rsidRPr="00B03C0A" w:rsidRDefault="00B03C0A" w:rsidP="00B03C0A">
      <w:pPr>
        <w:keepNext/>
        <w:contextualSpacing/>
        <w:rPr>
          <w:rFonts w:asciiTheme="minorHAnsi" w:hAnsiTheme="minorHAnsi" w:cstheme="minorHAnsi"/>
          <w:b/>
          <w:color w:val="4F6228"/>
          <w:sz w:val="22"/>
          <w:szCs w:val="22"/>
        </w:rPr>
      </w:pPr>
      <w:r w:rsidRPr="00B03C0A">
        <w:rPr>
          <w:rFonts w:asciiTheme="minorHAnsi" w:hAnsiTheme="minorHAnsi" w:cstheme="minorHAnsi"/>
          <w:b/>
          <w:color w:val="4F6228"/>
          <w:sz w:val="22"/>
          <w:szCs w:val="22"/>
        </w:rPr>
        <w:t xml:space="preserve">SELECTION CRITERIA D – MEETING GOCO’S STRATEGIC PLAN:  </w:t>
      </w:r>
      <w:hyperlink r:id="rId21" w:history="1">
        <w:r w:rsidR="009B2821" w:rsidRPr="00B03C0A">
          <w:rPr>
            <w:rStyle w:val="Hyperlink"/>
            <w:rFonts w:asciiTheme="minorHAnsi" w:hAnsiTheme="minorHAnsi" w:cstheme="minorHAnsi"/>
            <w:sz w:val="22"/>
            <w:szCs w:val="22"/>
          </w:rPr>
          <w:t>GOCO’s 2015 Strategic Plan</w:t>
        </w:r>
      </w:hyperlink>
      <w:r w:rsidR="009B2821" w:rsidRPr="00B03C0A">
        <w:rPr>
          <w:rFonts w:asciiTheme="minorHAnsi" w:hAnsiTheme="minorHAnsi" w:cstheme="minorHAnsi"/>
          <w:sz w:val="22"/>
          <w:szCs w:val="22"/>
        </w:rPr>
        <w:t xml:space="preserve"> included several broad goals for future investments that include components that the board intends will be addressed through the open space purpose. </w:t>
      </w:r>
    </w:p>
    <w:p w14:paraId="0CB9BA55" w14:textId="77777777" w:rsidR="009B2821" w:rsidRPr="00B03C0A" w:rsidRDefault="009B2821" w:rsidP="004D537B">
      <w:pPr>
        <w:contextualSpacing/>
        <w:rPr>
          <w:rFonts w:asciiTheme="minorHAnsi" w:hAnsiTheme="minorHAnsi" w:cstheme="minorHAnsi"/>
          <w:sz w:val="22"/>
          <w:szCs w:val="22"/>
        </w:rPr>
      </w:pPr>
    </w:p>
    <w:p w14:paraId="4C2E0846"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Landscape-Scale Connectivity:</w:t>
      </w:r>
      <w:r w:rsidRPr="00B03C0A">
        <w:rPr>
          <w:rFonts w:asciiTheme="minorHAnsi" w:hAnsiTheme="minorHAnsi" w:cstheme="minorHAnsi"/>
          <w:sz w:val="22"/>
          <w:szCs w:val="22"/>
        </w:rPr>
        <w:t xml:space="preserve"> List any priority areas that this property lies within and/or how this project builds on conservation efforts. This may include priority areas designated by the Colorado </w:t>
      </w:r>
      <w:r w:rsidRPr="00B03C0A">
        <w:rPr>
          <w:rFonts w:asciiTheme="minorHAnsi" w:hAnsiTheme="minorHAnsi" w:cstheme="minorHAnsi"/>
          <w:sz w:val="22"/>
          <w:szCs w:val="22"/>
        </w:rPr>
        <w:lastRenderedPageBreak/>
        <w:t xml:space="preserve">Conservation Partnership’s </w:t>
      </w:r>
      <w:r w:rsidRPr="00B03C0A">
        <w:rPr>
          <w:rFonts w:asciiTheme="minorHAnsi" w:hAnsiTheme="minorHAnsi" w:cstheme="minorHAnsi"/>
          <w:i/>
          <w:sz w:val="22"/>
          <w:szCs w:val="22"/>
        </w:rPr>
        <w:t>Keep it Colorado</w:t>
      </w:r>
      <w:r w:rsidRPr="00B03C0A">
        <w:rPr>
          <w:rFonts w:asciiTheme="minorHAnsi" w:hAnsiTheme="minorHAnsi" w:cstheme="minorHAnsi"/>
          <w:sz w:val="22"/>
          <w:szCs w:val="22"/>
        </w:rPr>
        <w:t xml:space="preserve"> initiative, the Colorado Natural Heritage Program, Colorado Parks and Wildlife, or other organizations that prioritize conservation areas. Please include information about why the property fits within a specific priority area. </w:t>
      </w:r>
    </w:p>
    <w:p w14:paraId="1D004484" w14:textId="77777777" w:rsidR="009B2821" w:rsidRPr="00B03C0A" w:rsidRDefault="009B2821" w:rsidP="004D537B">
      <w:pPr>
        <w:contextualSpacing/>
        <w:rPr>
          <w:rFonts w:asciiTheme="minorHAnsi" w:hAnsiTheme="minorHAnsi" w:cstheme="minorHAnsi"/>
          <w:sz w:val="22"/>
          <w:szCs w:val="22"/>
        </w:rPr>
      </w:pPr>
    </w:p>
    <w:p w14:paraId="2E5142B0"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Rivers and Riparian Corridors:</w:t>
      </w:r>
      <w:r w:rsidRPr="00B03C0A">
        <w:rPr>
          <w:rFonts w:asciiTheme="minorHAnsi" w:hAnsiTheme="minorHAnsi" w:cstheme="minorHAnsi"/>
          <w:sz w:val="22"/>
          <w:szCs w:val="22"/>
        </w:rPr>
        <w:t xml:space="preserve"> List any rivers or riparian corridors that this project will help protect and quantify the extent of these features on the property.</w:t>
      </w:r>
    </w:p>
    <w:p w14:paraId="7E781F64" w14:textId="77777777" w:rsidR="009B2821" w:rsidRPr="00B03C0A" w:rsidRDefault="009B2821" w:rsidP="004D537B">
      <w:pPr>
        <w:contextualSpacing/>
        <w:rPr>
          <w:rFonts w:asciiTheme="minorHAnsi" w:hAnsiTheme="minorHAnsi" w:cstheme="minorHAnsi"/>
          <w:b/>
          <w:sz w:val="22"/>
          <w:szCs w:val="22"/>
        </w:rPr>
      </w:pPr>
    </w:p>
    <w:p w14:paraId="61594E24"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Urban Parcels:</w:t>
      </w:r>
      <w:r w:rsidRPr="00B03C0A">
        <w:rPr>
          <w:rFonts w:asciiTheme="minorHAnsi" w:hAnsiTheme="minorHAnsi" w:cstheme="minorHAnsi"/>
          <w:sz w:val="22"/>
          <w:szCs w:val="22"/>
        </w:rPr>
        <w:t xml:space="preserve"> If this property lies within an urban area, describe the location and public benefits. </w:t>
      </w:r>
    </w:p>
    <w:p w14:paraId="3A179D03" w14:textId="77777777" w:rsidR="009B2821" w:rsidRPr="00B03C0A" w:rsidRDefault="009B2821" w:rsidP="004D537B">
      <w:pPr>
        <w:contextualSpacing/>
        <w:rPr>
          <w:rFonts w:asciiTheme="minorHAnsi" w:hAnsiTheme="minorHAnsi" w:cstheme="minorHAnsi"/>
          <w:sz w:val="22"/>
          <w:szCs w:val="22"/>
        </w:rPr>
      </w:pPr>
    </w:p>
    <w:p w14:paraId="36EF3F14" w14:textId="77777777" w:rsidR="009B2821" w:rsidRPr="00B03C0A" w:rsidRDefault="009B2821"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Access:</w:t>
      </w:r>
      <w:r w:rsidRPr="00B03C0A">
        <w:rPr>
          <w:rFonts w:asciiTheme="minorHAnsi" w:hAnsiTheme="minorHAnsi" w:cstheme="minorHAnsi"/>
          <w:sz w:val="22"/>
          <w:szCs w:val="22"/>
        </w:rPr>
        <w:t xml:space="preserve"> Describe how any current or proposed uses of the property will lead to public access and education opportunities. </w:t>
      </w:r>
    </w:p>
    <w:p w14:paraId="1353A495" w14:textId="77777777" w:rsidR="009B2821" w:rsidRPr="00B03C0A" w:rsidRDefault="009B2821" w:rsidP="004D537B">
      <w:pPr>
        <w:contextualSpacing/>
        <w:rPr>
          <w:rFonts w:asciiTheme="minorHAnsi" w:hAnsiTheme="minorHAnsi" w:cstheme="minorHAnsi"/>
          <w:b/>
          <w:sz w:val="22"/>
          <w:szCs w:val="22"/>
        </w:rPr>
      </w:pPr>
    </w:p>
    <w:p w14:paraId="646BA075" w14:textId="2DD8D597" w:rsidR="009B2821" w:rsidRPr="00B03C0A" w:rsidRDefault="00B03C0A" w:rsidP="004D537B">
      <w:pPr>
        <w:contextualSpacing/>
        <w:rPr>
          <w:rFonts w:asciiTheme="minorHAnsi" w:hAnsiTheme="minorHAnsi" w:cstheme="minorHAnsi"/>
          <w:b/>
          <w:sz w:val="22"/>
          <w:szCs w:val="22"/>
          <w:u w:val="single"/>
        </w:rPr>
      </w:pPr>
      <w:r w:rsidRPr="00B03C0A">
        <w:rPr>
          <w:rFonts w:asciiTheme="minorHAnsi" w:hAnsiTheme="minorHAnsi" w:cstheme="minorHAnsi"/>
          <w:b/>
          <w:color w:val="4F6228"/>
          <w:sz w:val="22"/>
          <w:szCs w:val="22"/>
        </w:rPr>
        <w:t>SELECTION CRITERIA G – PARTNERSHIP AND NON-MONETARY SUPPORT:</w:t>
      </w:r>
      <w:r w:rsidRPr="00B03C0A">
        <w:rPr>
          <w:rFonts w:asciiTheme="minorHAnsi" w:hAnsiTheme="minorHAnsi" w:cstheme="minorHAnsi"/>
          <w:b/>
          <w:sz w:val="22"/>
          <w:szCs w:val="22"/>
        </w:rPr>
        <w:t xml:space="preserve">  </w:t>
      </w:r>
      <w:r w:rsidR="009B2821" w:rsidRPr="00B03C0A">
        <w:rPr>
          <w:rFonts w:asciiTheme="minorHAnsi" w:hAnsiTheme="minorHAnsi" w:cstheme="minorHAnsi"/>
          <w:sz w:val="22"/>
          <w:szCs w:val="22"/>
        </w:rPr>
        <w:t xml:space="preserve">GOCO requires applicants to make a substantial effort to seek letters of support or non-opposition from the county in which a property is located and from the town or city, if the property is within town or city limits or within a growth management plan for the city or town. These letters must be on official letterhead. </w:t>
      </w:r>
    </w:p>
    <w:p w14:paraId="0FF79407" w14:textId="77777777" w:rsidR="009B2821" w:rsidRPr="00B03C0A" w:rsidRDefault="009B2821" w:rsidP="004D537B">
      <w:pPr>
        <w:contextualSpacing/>
        <w:rPr>
          <w:rFonts w:asciiTheme="minorHAnsi" w:hAnsiTheme="minorHAnsi" w:cstheme="minorHAnsi"/>
          <w:sz w:val="22"/>
          <w:szCs w:val="22"/>
        </w:rPr>
      </w:pPr>
    </w:p>
    <w:p w14:paraId="27F69D1F" w14:textId="77777777" w:rsidR="009B2821" w:rsidRPr="00B03C0A" w:rsidRDefault="009B2821" w:rsidP="004D537B">
      <w:pPr>
        <w:contextualSpacing/>
        <w:rPr>
          <w:rFonts w:asciiTheme="minorHAnsi" w:hAnsiTheme="minorHAnsi" w:cstheme="minorHAnsi"/>
          <w:b/>
          <w:sz w:val="22"/>
          <w:szCs w:val="22"/>
        </w:rPr>
      </w:pPr>
      <w:r w:rsidRPr="00B03C0A">
        <w:rPr>
          <w:rFonts w:asciiTheme="minorHAnsi" w:hAnsiTheme="minorHAnsi" w:cstheme="minorHAnsi"/>
          <w:sz w:val="22"/>
          <w:szCs w:val="22"/>
        </w:rPr>
        <w:t>If the applicant seeks a letter from a jurisdiction and is unsuccessful, the applicant must describe in the application the efforts it took to procure a letter and may provide other letters of support up to the limit indicated in the application, all of which GOCO will consider in scoring the application. Additionally, if the applicant cannot obtain a letter from a jurisdiction with land use authority, the applicant must supply GOCO with any feedback about the proposed project that it received from the respective jurisdiction in response to the applicant’s outreach.  </w:t>
      </w:r>
    </w:p>
    <w:p w14:paraId="3AF67A2A" w14:textId="77777777" w:rsidR="009B2821" w:rsidRPr="00B03C0A" w:rsidRDefault="009B2821" w:rsidP="004D537B">
      <w:pPr>
        <w:contextualSpacing/>
        <w:rPr>
          <w:rFonts w:asciiTheme="minorHAnsi" w:hAnsiTheme="minorHAnsi" w:cstheme="minorHAnsi"/>
          <w:b/>
          <w:sz w:val="22"/>
          <w:szCs w:val="22"/>
        </w:rPr>
      </w:pPr>
    </w:p>
    <w:p w14:paraId="174DEE65" w14:textId="3EE229E0" w:rsidR="009B2821" w:rsidRPr="00B03C0A" w:rsidRDefault="00B03C0A" w:rsidP="004D537B">
      <w:pPr>
        <w:contextualSpacing/>
        <w:rPr>
          <w:rFonts w:asciiTheme="minorHAnsi" w:hAnsiTheme="minorHAnsi" w:cstheme="minorHAnsi"/>
          <w:sz w:val="22"/>
          <w:szCs w:val="22"/>
        </w:rPr>
      </w:pPr>
      <w:r w:rsidRPr="00B03C0A">
        <w:rPr>
          <w:rFonts w:asciiTheme="minorHAnsi" w:hAnsiTheme="minorHAnsi" w:cstheme="minorHAnsi"/>
          <w:b/>
          <w:color w:val="4F6228"/>
          <w:sz w:val="22"/>
          <w:szCs w:val="22"/>
        </w:rPr>
        <w:t xml:space="preserve">SELECTION CRITERIA H – ABILITY TO ACCOMPLISH GOALS:  </w:t>
      </w:r>
      <w:r w:rsidR="009B2821" w:rsidRPr="00B03C0A">
        <w:rPr>
          <w:rFonts w:asciiTheme="minorHAnsi" w:hAnsiTheme="minorHAnsi" w:cstheme="minorHAnsi"/>
          <w:sz w:val="22"/>
          <w:szCs w:val="22"/>
        </w:rPr>
        <w:t>When the applicant is purchasing a conservation easement, GOCO expects that the landowner(s) understands what the applicant is proposing for funding. If the landowner(s) has not read the actual application, please explain what steps have been taken to ensure that he or she knows the details of the project as it is proposed.</w:t>
      </w:r>
    </w:p>
    <w:p w14:paraId="23BF674B" w14:textId="77777777" w:rsidR="009B2821" w:rsidRPr="00296B34" w:rsidRDefault="009B2821" w:rsidP="004D537B">
      <w:pPr>
        <w:contextualSpacing/>
        <w:rPr>
          <w:rFonts w:ascii="Calibri" w:hAnsi="Calibri"/>
          <w:b/>
        </w:rPr>
      </w:pPr>
    </w:p>
    <w:p w14:paraId="0E739BA7" w14:textId="77777777" w:rsidR="00B03C0A" w:rsidRDefault="00B03C0A">
      <w:pPr>
        <w:widowControl/>
        <w:spacing w:after="200" w:line="276" w:lineRule="auto"/>
        <w:rPr>
          <w:rFonts w:ascii="Calibri" w:hAnsi="Calibri"/>
          <w:b/>
          <w:bCs/>
          <w:color w:val="4F6228"/>
        </w:rPr>
      </w:pPr>
      <w:r>
        <w:rPr>
          <w:rFonts w:ascii="Calibri" w:hAnsi="Calibri"/>
          <w:b/>
          <w:bCs/>
          <w:color w:val="4F6228"/>
        </w:rPr>
        <w:br w:type="page"/>
      </w:r>
    </w:p>
    <w:p w14:paraId="00EA707B" w14:textId="6A7E6849" w:rsidR="009B2821" w:rsidRPr="008E22F8" w:rsidRDefault="009B2821" w:rsidP="004D537B">
      <w:pPr>
        <w:keepNext/>
        <w:contextualSpacing/>
        <w:rPr>
          <w:rFonts w:ascii="Calibri" w:hAnsi="Calibri"/>
          <w:b/>
          <w:color w:val="4F6228"/>
        </w:rPr>
      </w:pPr>
      <w:r w:rsidRPr="008E22F8">
        <w:rPr>
          <w:rFonts w:ascii="Calibri" w:hAnsi="Calibri"/>
          <w:b/>
          <w:bCs/>
          <w:color w:val="4F6228"/>
        </w:rPr>
        <w:lastRenderedPageBreak/>
        <w:t>BUDGET</w:t>
      </w:r>
      <w:r>
        <w:rPr>
          <w:rFonts w:ascii="Calibri" w:hAnsi="Calibri"/>
          <w:b/>
          <w:bCs/>
          <w:color w:val="4F6228"/>
        </w:rPr>
        <w:t xml:space="preserve"> INSTRUCTIONS</w:t>
      </w:r>
    </w:p>
    <w:p w14:paraId="3CE9D60E" w14:textId="77777777" w:rsidR="009B2821" w:rsidRPr="00296B34" w:rsidRDefault="009B2821" w:rsidP="004D537B">
      <w:pPr>
        <w:keepNext/>
        <w:contextualSpacing/>
        <w:rPr>
          <w:rFonts w:ascii="Calibri" w:hAnsi="Calibri"/>
        </w:rPr>
      </w:pPr>
    </w:p>
    <w:p w14:paraId="71C5B9D7" w14:textId="2B4D773E" w:rsidR="009B2821" w:rsidRPr="00B03C0A" w:rsidRDefault="00B03C0A" w:rsidP="004D537B">
      <w:pPr>
        <w:widowControl/>
        <w:numPr>
          <w:ilvl w:val="0"/>
          <w:numId w:val="26"/>
        </w:numPr>
        <w:tabs>
          <w:tab w:val="num" w:pos="2160"/>
        </w:tabs>
        <w:contextualSpacing/>
        <w:rPr>
          <w:rFonts w:asciiTheme="minorHAnsi" w:hAnsiTheme="minorHAnsi" w:cstheme="minorHAnsi"/>
          <w:sz w:val="22"/>
          <w:szCs w:val="22"/>
        </w:rPr>
      </w:pPr>
      <w:r w:rsidRPr="00B03C0A">
        <w:rPr>
          <w:rFonts w:asciiTheme="minorHAnsi" w:hAnsiTheme="minorHAnsi" w:cstheme="minorHAnsi"/>
          <w:b/>
          <w:color w:val="4F6228"/>
          <w:sz w:val="22"/>
          <w:szCs w:val="22"/>
        </w:rPr>
        <w:t>LANDOWNER CASH CONTRIBUTIONS:</w:t>
      </w:r>
      <w:r w:rsidRPr="00B03C0A">
        <w:rPr>
          <w:rFonts w:asciiTheme="minorHAnsi" w:hAnsiTheme="minorHAnsi" w:cstheme="minorHAnsi"/>
          <w:b/>
          <w:bCs/>
          <w:sz w:val="22"/>
          <w:szCs w:val="22"/>
        </w:rPr>
        <w:t xml:space="preserve"> </w:t>
      </w:r>
      <w:r w:rsidR="009B2821" w:rsidRPr="00B03C0A">
        <w:rPr>
          <w:rFonts w:asciiTheme="minorHAnsi" w:hAnsiTheme="minorHAnsi" w:cstheme="minorHAnsi"/>
          <w:sz w:val="22"/>
          <w:szCs w:val="22"/>
        </w:rPr>
        <w:t>Landowners may cover eligible transaction costs; however, the landowner cannot donate funds toward the purchase price.</w:t>
      </w:r>
    </w:p>
    <w:p w14:paraId="497761D8" w14:textId="77777777" w:rsidR="009B2821" w:rsidRPr="00B03C0A" w:rsidRDefault="009B2821" w:rsidP="004D537B">
      <w:pPr>
        <w:ind w:left="1080"/>
        <w:contextualSpacing/>
        <w:rPr>
          <w:rFonts w:asciiTheme="minorHAnsi" w:hAnsiTheme="minorHAnsi" w:cstheme="minorHAnsi"/>
          <w:sz w:val="22"/>
          <w:szCs w:val="22"/>
          <w:u w:val="single"/>
        </w:rPr>
      </w:pPr>
    </w:p>
    <w:p w14:paraId="03F17550" w14:textId="0AF2F383" w:rsidR="009B2821" w:rsidRPr="00B03C0A" w:rsidRDefault="00B03C0A" w:rsidP="004D537B">
      <w:pPr>
        <w:pStyle w:val="a"/>
        <w:widowControl/>
        <w:numPr>
          <w:ilvl w:val="0"/>
          <w:numId w:val="26"/>
        </w:numPr>
        <w:tabs>
          <w:tab w:val="left" w:pos="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pPr>
      <w:r w:rsidRPr="00B03C0A">
        <w:rPr>
          <w:rFonts w:asciiTheme="minorHAnsi" w:hAnsiTheme="minorHAnsi" w:cstheme="minorHAnsi"/>
          <w:b/>
          <w:snapToGrid w:val="0"/>
          <w:color w:val="4F6228"/>
          <w:sz w:val="22"/>
          <w:szCs w:val="22"/>
        </w:rPr>
        <w:t>MATCHING RESOURCES AND ELIGIBLE COSTS:</w:t>
      </w:r>
      <w:r w:rsidRPr="00B03C0A">
        <w:rPr>
          <w:rFonts w:asciiTheme="minorHAnsi" w:hAnsiTheme="minorHAnsi" w:cstheme="minorHAnsi"/>
          <w:sz w:val="22"/>
          <w:szCs w:val="22"/>
        </w:rPr>
        <w:t xml:space="preserve"> </w:t>
      </w:r>
      <w:r w:rsidR="009B2821" w:rsidRPr="00B03C0A">
        <w:rPr>
          <w:rFonts w:asciiTheme="minorHAnsi" w:hAnsiTheme="minorHAnsi" w:cstheme="minorHAnsi"/>
          <w:sz w:val="22"/>
          <w:szCs w:val="22"/>
        </w:rPr>
        <w:t>Only costs that are required to acquire the property are eligible to be used as matching resources.</w:t>
      </w:r>
    </w:p>
    <w:p w14:paraId="612E295F" w14:textId="77777777" w:rsidR="009B2821" w:rsidRPr="00B03C0A" w:rsidRDefault="009B2821" w:rsidP="004D537B">
      <w:pPr>
        <w:ind w:left="1425" w:hanging="342"/>
        <w:contextualSpacing/>
        <w:rPr>
          <w:rFonts w:asciiTheme="minorHAnsi" w:hAnsiTheme="minorHAnsi" w:cstheme="minorHAnsi"/>
          <w:sz w:val="22"/>
          <w:szCs w:val="22"/>
        </w:rPr>
      </w:pPr>
    </w:p>
    <w:p w14:paraId="42F5FAE7" w14:textId="77777777" w:rsidR="009B2821" w:rsidRPr="00B03C0A" w:rsidRDefault="009B2821" w:rsidP="004D537B">
      <w:pPr>
        <w:widowControl/>
        <w:numPr>
          <w:ilvl w:val="0"/>
          <w:numId w:val="27"/>
        </w:numPr>
        <w:ind w:left="1440"/>
        <w:contextualSpacing/>
        <w:rPr>
          <w:rFonts w:asciiTheme="minorHAnsi" w:hAnsiTheme="minorHAnsi" w:cstheme="minorHAnsi"/>
          <w:sz w:val="22"/>
          <w:szCs w:val="22"/>
        </w:rPr>
      </w:pPr>
      <w:r w:rsidRPr="00B03C0A">
        <w:rPr>
          <w:rFonts w:asciiTheme="minorHAnsi" w:hAnsiTheme="minorHAnsi" w:cstheme="minorHAnsi"/>
          <w:bCs/>
          <w:sz w:val="22"/>
          <w:szCs w:val="22"/>
        </w:rPr>
        <w:t>Land donations cannot be used to meet any of the minimum matching requirements,</w:t>
      </w:r>
      <w:r w:rsidRPr="00B03C0A">
        <w:rPr>
          <w:rFonts w:asciiTheme="minorHAnsi" w:hAnsiTheme="minorHAnsi" w:cstheme="minorHAnsi"/>
          <w:b/>
          <w:sz w:val="22"/>
          <w:szCs w:val="22"/>
        </w:rPr>
        <w:t xml:space="preserve"> </w:t>
      </w:r>
      <w:r w:rsidRPr="00B03C0A">
        <w:rPr>
          <w:rFonts w:asciiTheme="minorHAnsi" w:hAnsiTheme="minorHAnsi" w:cstheme="minorHAnsi"/>
          <w:bCs/>
          <w:sz w:val="22"/>
          <w:szCs w:val="22"/>
        </w:rPr>
        <w:t>either as in-kind or cash,</w:t>
      </w:r>
      <w:r w:rsidRPr="00B03C0A">
        <w:rPr>
          <w:rFonts w:asciiTheme="minorHAnsi" w:hAnsiTheme="minorHAnsi" w:cstheme="minorHAnsi"/>
          <w:sz w:val="22"/>
          <w:szCs w:val="22"/>
        </w:rPr>
        <w:t xml:space="preserve"> because the donation is not an expense to the grantee to complete the project. (GOCO instead gives credit for land donations in points awarded for project leveraging.)</w:t>
      </w:r>
    </w:p>
    <w:p w14:paraId="71A73E24" w14:textId="77777777" w:rsidR="009B2821" w:rsidRPr="00B03C0A" w:rsidRDefault="009B2821" w:rsidP="004D537B">
      <w:pPr>
        <w:ind w:left="1785" w:hanging="342"/>
        <w:contextualSpacing/>
        <w:rPr>
          <w:rFonts w:asciiTheme="minorHAnsi" w:hAnsiTheme="minorHAnsi" w:cstheme="minorHAnsi"/>
          <w:sz w:val="22"/>
          <w:szCs w:val="22"/>
        </w:rPr>
      </w:pPr>
    </w:p>
    <w:p w14:paraId="3807DD32" w14:textId="77777777" w:rsidR="009B2821" w:rsidRPr="00B03C0A" w:rsidRDefault="009B2821" w:rsidP="004D537B">
      <w:pPr>
        <w:widowControl/>
        <w:numPr>
          <w:ilvl w:val="0"/>
          <w:numId w:val="27"/>
        </w:numPr>
        <w:ind w:left="1440"/>
        <w:contextualSpacing/>
        <w:rPr>
          <w:rFonts w:asciiTheme="minorHAnsi" w:hAnsiTheme="minorHAnsi" w:cstheme="minorHAnsi"/>
          <w:sz w:val="22"/>
          <w:szCs w:val="22"/>
        </w:rPr>
      </w:pPr>
      <w:r w:rsidRPr="00B03C0A">
        <w:rPr>
          <w:rFonts w:asciiTheme="minorHAnsi" w:hAnsiTheme="minorHAnsi" w:cstheme="minorHAnsi"/>
          <w:sz w:val="22"/>
          <w:szCs w:val="22"/>
        </w:rPr>
        <w:t xml:space="preserve">Eligible costs typically include </w:t>
      </w:r>
      <w:r w:rsidRPr="00B03C0A">
        <w:rPr>
          <w:rFonts w:asciiTheme="minorHAnsi" w:hAnsiTheme="minorHAnsi" w:cstheme="minorHAnsi"/>
          <w:sz w:val="22"/>
          <w:szCs w:val="22"/>
          <w:u w:val="single"/>
        </w:rPr>
        <w:t>only</w:t>
      </w:r>
      <w:r w:rsidRPr="00B03C0A">
        <w:rPr>
          <w:rFonts w:asciiTheme="minorHAnsi" w:hAnsiTheme="minorHAnsi" w:cstheme="minorHAnsi"/>
          <w:sz w:val="22"/>
          <w:szCs w:val="22"/>
        </w:rPr>
        <w:t xml:space="preserve"> the following (see conditions below): </w:t>
      </w:r>
    </w:p>
    <w:p w14:paraId="20BD9338" w14:textId="77777777" w:rsidR="009B2821" w:rsidRPr="00B03C0A" w:rsidRDefault="009B2821" w:rsidP="004D537B">
      <w:pPr>
        <w:contextualSpacing/>
        <w:rPr>
          <w:rFonts w:asciiTheme="minorHAnsi" w:hAnsiTheme="minorHAnsi" w:cstheme="minorHAnsi"/>
          <w:sz w:val="22"/>
          <w:szCs w:val="22"/>
        </w:rPr>
      </w:pPr>
    </w:p>
    <w:p w14:paraId="23C58CD5"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Purchase price (This may only include the cost of the land and water rights, if any, and may not include the cost of any improvements or personal property to be acquired along with the land.)</w:t>
      </w:r>
    </w:p>
    <w:p w14:paraId="6CB897C6"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Survey (if necessary)</w:t>
      </w:r>
    </w:p>
    <w:p w14:paraId="00A38351"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Appraisal</w:t>
      </w:r>
    </w:p>
    <w:p w14:paraId="1BF15B9F"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Environmental hazards assessment</w:t>
      </w:r>
    </w:p>
    <w:p w14:paraId="1554A826"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Baseline documentation report</w:t>
      </w:r>
    </w:p>
    <w:p w14:paraId="6BC3806C"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Title policy</w:t>
      </w:r>
    </w:p>
    <w:p w14:paraId="4622A3C9"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Mineral assessment (if necessary)</w:t>
      </w:r>
    </w:p>
    <w:p w14:paraId="39F23182"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Closing costs (these must match the settlement statement)</w:t>
      </w:r>
    </w:p>
    <w:p w14:paraId="1B6219C0"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Attorney fees (the grantee’s attorney fees, not the landowner’s)</w:t>
      </w:r>
    </w:p>
    <w:p w14:paraId="1D82A635"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Water rights due diligence (may include project-related costs of subscribing to and using water rights-tracking software such as Water Sage)</w:t>
      </w:r>
    </w:p>
    <w:p w14:paraId="382EEF5C"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Stewardship endowments (GOCO will not pay more than 50% of the endowment cost. Requests for stewardship endowment funds from GOCO must be matched by an equivalent cash contribution by the applicant and/or partners. GOCO will not pay more than $10,000 for a stewardship endowment. If there are multiple properties in the project, GOCO will pay up to $10,000 for a stewardship endowment for each property. GOCO funds may support annual monitoring and reporting but may not be used for legal defense costs.)</w:t>
      </w:r>
    </w:p>
    <w:p w14:paraId="7BA1676C" w14:textId="77777777" w:rsidR="009B2821" w:rsidRPr="00B03C0A" w:rsidRDefault="009B2821" w:rsidP="004D537B">
      <w:pPr>
        <w:widowControl/>
        <w:numPr>
          <w:ilvl w:val="1"/>
          <w:numId w:val="25"/>
        </w:numPr>
        <w:contextualSpacing/>
        <w:rPr>
          <w:rFonts w:asciiTheme="minorHAnsi" w:hAnsiTheme="minorHAnsi" w:cstheme="minorHAnsi"/>
          <w:sz w:val="22"/>
          <w:szCs w:val="22"/>
        </w:rPr>
      </w:pPr>
      <w:r w:rsidRPr="00B03C0A">
        <w:rPr>
          <w:rFonts w:asciiTheme="minorHAnsi" w:hAnsiTheme="minorHAnsi" w:cstheme="minorHAnsi"/>
          <w:sz w:val="22"/>
          <w:szCs w:val="22"/>
        </w:rPr>
        <w:t xml:space="preserve">Indirect costs, such as staff time and overhead, if specifically approved by GOCO (See GOCO’s </w:t>
      </w:r>
      <w:hyperlink r:id="rId22" w:history="1">
        <w:r w:rsidRPr="00B03C0A">
          <w:rPr>
            <w:rStyle w:val="Hyperlink"/>
            <w:rFonts w:asciiTheme="minorHAnsi" w:hAnsiTheme="minorHAnsi" w:cstheme="minorHAnsi"/>
            <w:sz w:val="22"/>
            <w:szCs w:val="22"/>
          </w:rPr>
          <w:t>Request for Indirect Costs Form</w:t>
        </w:r>
      </w:hyperlink>
      <w:r w:rsidRPr="00B03C0A">
        <w:rPr>
          <w:rFonts w:asciiTheme="minorHAnsi" w:hAnsiTheme="minorHAnsi" w:cstheme="minorHAnsi"/>
          <w:sz w:val="22"/>
          <w:szCs w:val="22"/>
        </w:rPr>
        <w:t>)</w:t>
      </w:r>
    </w:p>
    <w:p w14:paraId="7A09939D" w14:textId="77777777" w:rsidR="009B2821" w:rsidRPr="00B03C0A" w:rsidRDefault="009B2821" w:rsidP="004D537B">
      <w:pPr>
        <w:ind w:left="2160"/>
        <w:contextualSpacing/>
        <w:rPr>
          <w:rFonts w:asciiTheme="minorHAnsi" w:hAnsiTheme="minorHAnsi" w:cstheme="minorHAnsi"/>
          <w:sz w:val="22"/>
          <w:szCs w:val="22"/>
        </w:rPr>
      </w:pPr>
    </w:p>
    <w:p w14:paraId="5C70F820" w14:textId="77777777" w:rsidR="009B2821" w:rsidRPr="00B03C0A" w:rsidRDefault="009B2821" w:rsidP="004D537B">
      <w:pPr>
        <w:contextualSpacing/>
        <w:rPr>
          <w:rFonts w:asciiTheme="minorHAnsi" w:hAnsiTheme="minorHAnsi" w:cstheme="minorHAnsi"/>
          <w:sz w:val="22"/>
          <w:szCs w:val="22"/>
        </w:rPr>
      </w:pPr>
    </w:p>
    <w:p w14:paraId="35CD2C19" w14:textId="77777777" w:rsidR="003C132F" w:rsidRPr="00B03C0A" w:rsidRDefault="003C132F" w:rsidP="004D537B">
      <w:pPr>
        <w:ind w:left="-5"/>
        <w:contextualSpacing/>
        <w:rPr>
          <w:rFonts w:asciiTheme="minorHAnsi" w:hAnsiTheme="minorHAnsi" w:cstheme="minorHAnsi"/>
          <w:sz w:val="22"/>
          <w:szCs w:val="22"/>
        </w:rPr>
      </w:pPr>
    </w:p>
    <w:sectPr w:rsidR="003C132F" w:rsidRPr="00B03C0A" w:rsidSect="009B2821">
      <w:headerReference w:type="default" r:id="rId23"/>
      <w:footerReference w:type="default" r:id="rId24"/>
      <w:endnotePr>
        <w:numFmt w:val="decimal"/>
      </w:endnotePr>
      <w:type w:val="continuous"/>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C633" w14:textId="77777777" w:rsidR="006A72D9" w:rsidRDefault="006A72D9" w:rsidP="000134AC">
      <w:r>
        <w:separator/>
      </w:r>
    </w:p>
  </w:endnote>
  <w:endnote w:type="continuationSeparator" w:id="0">
    <w:p w14:paraId="5AF1650E" w14:textId="77777777" w:rsidR="006A72D9" w:rsidRDefault="006A72D9" w:rsidP="0001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2D9E" w14:textId="68CFDC08" w:rsidR="009B2821" w:rsidRPr="00296B34" w:rsidRDefault="009B2821">
    <w:pPr>
      <w:pStyle w:val="Footer"/>
      <w:jc w:val="center"/>
      <w:rPr>
        <w:rFonts w:ascii="Calibri" w:hAnsi="Calibri"/>
      </w:rPr>
    </w:pPr>
    <w:r w:rsidRPr="00296B34">
      <w:rPr>
        <w:rFonts w:ascii="Calibri" w:hAnsi="Calibri"/>
      </w:rPr>
      <w:t xml:space="preserve">Page </w:t>
    </w:r>
    <w:r w:rsidRPr="00296B34">
      <w:rPr>
        <w:rFonts w:ascii="Calibri" w:hAnsi="Calibri"/>
        <w:b/>
        <w:bCs/>
      </w:rPr>
      <w:fldChar w:fldCharType="begin"/>
    </w:r>
    <w:r w:rsidRPr="00296B34">
      <w:rPr>
        <w:rFonts w:ascii="Calibri" w:hAnsi="Calibri"/>
        <w:b/>
        <w:bCs/>
      </w:rPr>
      <w:instrText xml:space="preserve"> PAGE </w:instrText>
    </w:r>
    <w:r w:rsidRPr="00296B34">
      <w:rPr>
        <w:rFonts w:ascii="Calibri" w:hAnsi="Calibri"/>
        <w:b/>
        <w:bCs/>
      </w:rPr>
      <w:fldChar w:fldCharType="separate"/>
    </w:r>
    <w:r>
      <w:rPr>
        <w:rFonts w:ascii="Calibri" w:hAnsi="Calibri"/>
        <w:b/>
        <w:bCs/>
        <w:noProof/>
      </w:rPr>
      <w:t>10</w:t>
    </w:r>
    <w:r w:rsidRPr="00296B34">
      <w:rPr>
        <w:rFonts w:ascii="Calibri" w:hAnsi="Calibri"/>
        <w:b/>
        <w:bCs/>
      </w:rPr>
      <w:fldChar w:fldCharType="end"/>
    </w:r>
    <w:r w:rsidRPr="00296B34">
      <w:rPr>
        <w:rFonts w:ascii="Calibri" w:hAnsi="Calibri"/>
      </w:rPr>
      <w:t xml:space="preserve"> of </w:t>
    </w:r>
    <w:r w:rsidRPr="00296B34">
      <w:rPr>
        <w:rFonts w:ascii="Calibri" w:hAnsi="Calibri"/>
        <w:b/>
        <w:bCs/>
      </w:rPr>
      <w:fldChar w:fldCharType="begin"/>
    </w:r>
    <w:r w:rsidRPr="00296B34">
      <w:rPr>
        <w:rFonts w:ascii="Calibri" w:hAnsi="Calibri"/>
        <w:b/>
        <w:bCs/>
      </w:rPr>
      <w:instrText xml:space="preserve"> NUMPAGES  </w:instrText>
    </w:r>
    <w:r w:rsidRPr="00296B34">
      <w:rPr>
        <w:rFonts w:ascii="Calibri" w:hAnsi="Calibri"/>
        <w:b/>
        <w:bCs/>
      </w:rPr>
      <w:fldChar w:fldCharType="separate"/>
    </w:r>
    <w:r>
      <w:rPr>
        <w:rFonts w:ascii="Calibri" w:hAnsi="Calibri"/>
        <w:b/>
        <w:bCs/>
        <w:noProof/>
      </w:rPr>
      <w:t>10</w:t>
    </w:r>
    <w:r w:rsidRPr="00296B34">
      <w:rPr>
        <w:rFonts w:ascii="Calibri" w:hAnsi="Calibri"/>
        <w:b/>
        <w:bCs/>
      </w:rPr>
      <w:fldChar w:fldCharType="end"/>
    </w:r>
  </w:p>
  <w:p w14:paraId="3736F06C" w14:textId="77777777" w:rsidR="009B2821" w:rsidRDefault="009B2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C9E5" w14:textId="3BF8F00E" w:rsidR="006A72D9" w:rsidRPr="00507909" w:rsidRDefault="006A72D9">
    <w:pPr>
      <w:pStyle w:val="Footer"/>
      <w:jc w:val="center"/>
      <w:rPr>
        <w:rFonts w:asciiTheme="minorHAnsi" w:hAnsiTheme="minorHAnsi"/>
        <w:sz w:val="22"/>
        <w:szCs w:val="22"/>
      </w:rPr>
    </w:pPr>
  </w:p>
  <w:p w14:paraId="067251C1" w14:textId="77777777" w:rsidR="006A72D9" w:rsidRDefault="006A72D9">
    <w:pPr>
      <w:pStyle w:val="Footer"/>
      <w:tabs>
        <w:tab w:val="clear" w:pos="8640"/>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F725" w14:textId="77777777" w:rsidR="006A72D9" w:rsidRDefault="006A72D9" w:rsidP="000134AC">
      <w:r>
        <w:separator/>
      </w:r>
    </w:p>
  </w:footnote>
  <w:footnote w:type="continuationSeparator" w:id="0">
    <w:p w14:paraId="382D3F1F" w14:textId="77777777" w:rsidR="006A72D9" w:rsidRDefault="006A72D9" w:rsidP="0001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2427" w14:textId="7854C1E5" w:rsidR="009B2821" w:rsidRDefault="009B2821" w:rsidP="004B7ED1">
    <w:pPr>
      <w:pStyle w:val="Header"/>
      <w:tabs>
        <w:tab w:val="clear" w:pos="4320"/>
        <w:tab w:val="clear" w:pos="8640"/>
        <w:tab w:val="left" w:pos="39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8911" w14:textId="0DC5B9B9" w:rsidR="004B7ED1" w:rsidRDefault="00886500" w:rsidP="004B7ED1">
    <w:pPr>
      <w:pStyle w:val="Header"/>
      <w:jc w:val="center"/>
    </w:pPr>
    <w:r w:rsidRPr="002B7153">
      <w:rPr>
        <w:rFonts w:asciiTheme="minorHAnsi" w:hAnsiTheme="minorHAnsi" w:cstheme="minorHAnsi"/>
        <w:noProof/>
      </w:rPr>
      <w:drawing>
        <wp:inline distT="0" distB="0" distL="0" distR="0" wp14:anchorId="7572A128" wp14:editId="499D6927">
          <wp:extent cx="2286000" cy="621792"/>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stretch>
                    <a:fillRect/>
                  </a:stretch>
                </pic:blipFill>
                <pic:spPr>
                  <a:xfrm>
                    <a:off x="0" y="0"/>
                    <a:ext cx="2286000" cy="6217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524B" w14:textId="57513198" w:rsidR="006A72D9" w:rsidRDefault="006A72D9">
    <w:pPr>
      <w:pStyle w:val="Header"/>
      <w:jc w:val="center"/>
    </w:pPr>
  </w:p>
  <w:p w14:paraId="45C4C3CA" w14:textId="60E88AD4" w:rsidR="006A72D9" w:rsidRPr="001A3A92" w:rsidRDefault="006A72D9" w:rsidP="001A3A92">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D42"/>
    <w:multiLevelType w:val="hybridMultilevel"/>
    <w:tmpl w:val="427E65FC"/>
    <w:lvl w:ilvl="0" w:tplc="A26816E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F12"/>
    <w:multiLevelType w:val="hybridMultilevel"/>
    <w:tmpl w:val="5622A88A"/>
    <w:lvl w:ilvl="0" w:tplc="5A7EF804">
      <w:start w:val="1"/>
      <w:numFmt w:val="bullet"/>
      <w:lvlText w:val=""/>
      <w:lvlJc w:val="left"/>
      <w:pPr>
        <w:tabs>
          <w:tab w:val="num" w:pos="1350"/>
        </w:tabs>
        <w:ind w:left="1350" w:hanging="360"/>
      </w:pPr>
      <w:rPr>
        <w:rFonts w:ascii="Symbol" w:hAnsi="Symbol" w:hint="default"/>
      </w:rPr>
    </w:lvl>
    <w:lvl w:ilvl="1" w:tplc="98520D18">
      <w:start w:val="1"/>
      <w:numFmt w:val="decimal"/>
      <w:lvlText w:val="%2."/>
      <w:lvlJc w:val="left"/>
      <w:pPr>
        <w:tabs>
          <w:tab w:val="num" w:pos="2160"/>
        </w:tabs>
        <w:ind w:left="2160" w:hanging="360"/>
      </w:pPr>
      <w:rPr>
        <w:rFonts w:hint="default"/>
      </w:rPr>
    </w:lvl>
    <w:lvl w:ilvl="2" w:tplc="B0FA036C">
      <w:start w:val="1"/>
      <w:numFmt w:val="bullet"/>
      <w:lvlText w:val=""/>
      <w:lvlJc w:val="left"/>
      <w:pPr>
        <w:tabs>
          <w:tab w:val="num" w:pos="2880"/>
        </w:tabs>
        <w:ind w:left="2880" w:hanging="360"/>
      </w:pPr>
      <w:rPr>
        <w:rFonts w:ascii="Symbol" w:hAnsi="Symbol" w:hint="default"/>
        <w:b w:val="0"/>
        <w:i w:val="0"/>
        <w:sz w:val="18"/>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F82FD4"/>
    <w:multiLevelType w:val="hybridMultilevel"/>
    <w:tmpl w:val="0F14BD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63C7B"/>
    <w:multiLevelType w:val="hybridMultilevel"/>
    <w:tmpl w:val="ED98686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11224"/>
    <w:multiLevelType w:val="hybridMultilevel"/>
    <w:tmpl w:val="4B7AE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35A9D"/>
    <w:multiLevelType w:val="multilevel"/>
    <w:tmpl w:val="6C72BBFC"/>
    <w:lvl w:ilvl="0">
      <w:start w:val="1"/>
      <w:numFmt w:val="upperLetter"/>
      <w:lvlText w:val="%1)"/>
      <w:lvlJc w:val="left"/>
      <w:pPr>
        <w:ind w:left="360" w:hanging="360"/>
      </w:pPr>
      <w:rPr>
        <w:rFonts w:asciiTheme="minorHAnsi" w:hAnsiTheme="minorHAnsi" w:hint="default"/>
        <w:b/>
        <w:sz w:val="24"/>
        <w:szCs w:val="24"/>
      </w:rPr>
    </w:lvl>
    <w:lvl w:ilvl="1">
      <w:start w:val="1"/>
      <w:numFmt w:val="decimal"/>
      <w:lvlText w:val="%2)"/>
      <w:lvlJc w:val="left"/>
      <w:pPr>
        <w:ind w:left="360" w:hanging="360"/>
      </w:pPr>
      <w:rPr>
        <w:rFonts w:asciiTheme="minorHAnsi" w:hAnsiTheme="minorHAnsi" w:hint="default"/>
        <w:b/>
        <w:sz w:val="24"/>
      </w:rPr>
    </w:lvl>
    <w:lvl w:ilvl="2">
      <w:start w:val="1"/>
      <w:numFmt w:val="lowerLetter"/>
      <w:lvlText w:val="%3)"/>
      <w:lvlJc w:val="left"/>
      <w:pPr>
        <w:ind w:left="1080" w:hanging="360"/>
      </w:pPr>
      <w:rPr>
        <w:rFonts w:asciiTheme="minorHAnsi" w:hAnsiTheme="minorHAnsi" w:hint="default"/>
        <w:sz w:val="22"/>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953623"/>
    <w:multiLevelType w:val="hybridMultilevel"/>
    <w:tmpl w:val="30523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BC162D"/>
    <w:multiLevelType w:val="hybridMultilevel"/>
    <w:tmpl w:val="5D5E6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02BE0"/>
    <w:multiLevelType w:val="hybridMultilevel"/>
    <w:tmpl w:val="C770A49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F74DCA"/>
    <w:multiLevelType w:val="hybridMultilevel"/>
    <w:tmpl w:val="273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500CB"/>
    <w:multiLevelType w:val="hybridMultilevel"/>
    <w:tmpl w:val="58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03F8"/>
    <w:multiLevelType w:val="hybridMultilevel"/>
    <w:tmpl w:val="5D5E6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820AC3"/>
    <w:multiLevelType w:val="hybridMultilevel"/>
    <w:tmpl w:val="379A9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67510"/>
    <w:multiLevelType w:val="multilevel"/>
    <w:tmpl w:val="559E0E86"/>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imes New Roman" w:hAnsi="Times New Roman" w:hint="default"/>
        <w:b/>
        <w:sz w:val="24"/>
      </w:rPr>
    </w:lvl>
    <w:lvl w:ilvl="2">
      <w:start w:val="1"/>
      <w:numFmt w:val="lowerLetter"/>
      <w:lvlText w:val="%3)"/>
      <w:lvlJc w:val="left"/>
      <w:pPr>
        <w:ind w:left="1080" w:hanging="360"/>
      </w:pPr>
      <w:rPr>
        <w:rFonts w:ascii="Times New Roman" w:hAnsi="Times New Roman" w:hint="default"/>
        <w:sz w:val="22"/>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D3B71"/>
    <w:multiLevelType w:val="hybridMultilevel"/>
    <w:tmpl w:val="5D5E6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640B79"/>
    <w:multiLevelType w:val="multilevel"/>
    <w:tmpl w:val="FA948F6A"/>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heme="minorHAnsi" w:hAnsiTheme="minorHAnsi" w:hint="default"/>
        <w:b w:val="0"/>
        <w:sz w:val="24"/>
      </w:rPr>
    </w:lvl>
    <w:lvl w:ilvl="2">
      <w:start w:val="1"/>
      <w:numFmt w:val="lowerLetter"/>
      <w:lvlText w:val="%3)"/>
      <w:lvlJc w:val="left"/>
      <w:pPr>
        <w:ind w:left="1080" w:hanging="360"/>
      </w:pPr>
      <w:rPr>
        <w:rFonts w:ascii="Times New Roman" w:hAnsi="Times New Roman" w:hint="default"/>
        <w:sz w:val="22"/>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395AD0"/>
    <w:multiLevelType w:val="hybridMultilevel"/>
    <w:tmpl w:val="5F78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14858"/>
    <w:multiLevelType w:val="hybridMultilevel"/>
    <w:tmpl w:val="30AA5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3118A"/>
    <w:multiLevelType w:val="multilevel"/>
    <w:tmpl w:val="0409001D"/>
    <w:styleLink w:val="GOCO"/>
    <w:lvl w:ilvl="0">
      <w:start w:val="1"/>
      <w:numFmt w:val="upperLetter"/>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lowerLetter"/>
      <w:lvlText w:val="%3)"/>
      <w:lvlJc w:val="left"/>
      <w:pPr>
        <w:ind w:left="1080" w:hanging="360"/>
      </w:pPr>
      <w:rPr>
        <w:rFonts w:ascii="Times New Roman" w:hAnsi="Times New Roman"/>
        <w:sz w:val="22"/>
      </w:rPr>
    </w:lvl>
    <w:lvl w:ilvl="3">
      <w:start w:val="1"/>
      <w:numFmt w:val="lowerRoman"/>
      <w:lvlText w:val="(%4)"/>
      <w:lvlJc w:val="left"/>
      <w:pPr>
        <w:ind w:left="1440" w:hanging="360"/>
      </w:pPr>
      <w:rPr>
        <w:rFonts w:ascii="Times New Roman" w:hAnsi="Times New Roman"/>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AE3792"/>
    <w:multiLevelType w:val="multilevel"/>
    <w:tmpl w:val="1ABE73C4"/>
    <w:lvl w:ilvl="0">
      <w:start w:val="1"/>
      <w:numFmt w:val="upperLetter"/>
      <w:lvlText w:val="%1)"/>
      <w:lvlJc w:val="left"/>
      <w:pPr>
        <w:ind w:left="360" w:hanging="360"/>
      </w:pPr>
      <w:rPr>
        <w:rFonts w:ascii="Times New Roman" w:hAnsi="Times New Roman" w:cs="Times New Roman" w:hint="default"/>
        <w:b/>
        <w:sz w:val="28"/>
      </w:rPr>
    </w:lvl>
    <w:lvl w:ilvl="1">
      <w:start w:val="1"/>
      <w:numFmt w:val="decimal"/>
      <w:lvlText w:val="%2."/>
      <w:lvlJc w:val="left"/>
      <w:pPr>
        <w:ind w:left="360" w:hanging="360"/>
      </w:pPr>
      <w:rPr>
        <w:rFonts w:hint="default"/>
        <w:b/>
        <w:sz w:val="24"/>
      </w:rPr>
    </w:lvl>
    <w:lvl w:ilvl="2">
      <w:start w:val="1"/>
      <w:numFmt w:val="lowerLetter"/>
      <w:lvlText w:val="%3)"/>
      <w:lvlJc w:val="left"/>
      <w:pPr>
        <w:ind w:left="1080" w:hanging="360"/>
      </w:pPr>
      <w:rPr>
        <w:rFonts w:ascii="Times New Roman" w:hAnsi="Times New Roman" w:cs="Times New Roman" w:hint="default"/>
        <w:sz w:val="22"/>
      </w:rPr>
    </w:lvl>
    <w:lvl w:ilvl="3">
      <w:start w:val="1"/>
      <w:numFmt w:val="lowerRoman"/>
      <w:lvlText w:val="(%4)"/>
      <w:lvlJc w:val="left"/>
      <w:pPr>
        <w:ind w:left="1440" w:hanging="360"/>
      </w:pPr>
      <w:rPr>
        <w:rFonts w:ascii="Times New Roman" w:hAnsi="Times New Roman"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1C012E"/>
    <w:multiLevelType w:val="hybridMultilevel"/>
    <w:tmpl w:val="ECF65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6437BD"/>
    <w:multiLevelType w:val="hybridMultilevel"/>
    <w:tmpl w:val="2A6A788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B071A4"/>
    <w:multiLevelType w:val="hybridMultilevel"/>
    <w:tmpl w:val="C558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927B4"/>
    <w:multiLevelType w:val="hybridMultilevel"/>
    <w:tmpl w:val="9C0882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948E6"/>
    <w:multiLevelType w:val="hybridMultilevel"/>
    <w:tmpl w:val="F66890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058DA"/>
    <w:multiLevelType w:val="hybridMultilevel"/>
    <w:tmpl w:val="F3DE0D8C"/>
    <w:lvl w:ilvl="0" w:tplc="FEDA9CCE">
      <w:start w:val="1"/>
      <w:numFmt w:val="lowerRoman"/>
      <w:lvlText w:val="%1."/>
      <w:lvlJc w:val="left"/>
      <w:pPr>
        <w:tabs>
          <w:tab w:val="num" w:pos="144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F67C2B"/>
    <w:multiLevelType w:val="hybridMultilevel"/>
    <w:tmpl w:val="8FA2B078"/>
    <w:lvl w:ilvl="0" w:tplc="CC80E83A">
      <w:numFmt w:val="bullet"/>
      <w:lvlText w:val=""/>
      <w:lvlJc w:val="left"/>
      <w:pPr>
        <w:tabs>
          <w:tab w:val="num" w:pos="2160"/>
        </w:tabs>
        <w:ind w:left="2160" w:hanging="360"/>
      </w:pPr>
      <w:rPr>
        <w:rFonts w:ascii="WP IconicSymbolsA" w:eastAsia="Times New Roman" w:hAnsi="WP IconicSymbolsA"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EB65C60"/>
    <w:multiLevelType w:val="multilevel"/>
    <w:tmpl w:val="559E0E86"/>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imes New Roman" w:hAnsi="Times New Roman" w:hint="default"/>
        <w:b/>
        <w:sz w:val="24"/>
      </w:rPr>
    </w:lvl>
    <w:lvl w:ilvl="2">
      <w:start w:val="1"/>
      <w:numFmt w:val="lowerLetter"/>
      <w:lvlText w:val="%3)"/>
      <w:lvlJc w:val="left"/>
      <w:pPr>
        <w:ind w:left="1080" w:hanging="360"/>
      </w:pPr>
      <w:rPr>
        <w:rFonts w:ascii="Times New Roman" w:hAnsi="Times New Roman" w:hint="default"/>
        <w:sz w:val="22"/>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CF1F96"/>
    <w:multiLevelType w:val="hybridMultilevel"/>
    <w:tmpl w:val="F63C1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8"/>
  </w:num>
  <w:num w:numId="3">
    <w:abstractNumId w:val="27"/>
  </w:num>
  <w:num w:numId="4">
    <w:abstractNumId w:val="18"/>
  </w:num>
  <w:num w:numId="5">
    <w:abstractNumId w:val="3"/>
  </w:num>
  <w:num w:numId="6">
    <w:abstractNumId w:val="15"/>
  </w:num>
  <w:num w:numId="7">
    <w:abstractNumId w:val="19"/>
  </w:num>
  <w:num w:numId="8">
    <w:abstractNumId w:val="5"/>
  </w:num>
  <w:num w:numId="9">
    <w:abstractNumId w:val="12"/>
  </w:num>
  <w:num w:numId="10">
    <w:abstractNumId w:val="28"/>
  </w:num>
  <w:num w:numId="11">
    <w:abstractNumId w:val="22"/>
  </w:num>
  <w:num w:numId="12">
    <w:abstractNumId w:val="17"/>
  </w:num>
  <w:num w:numId="13">
    <w:abstractNumId w:val="20"/>
  </w:num>
  <w:num w:numId="14">
    <w:abstractNumId w:val="13"/>
  </w:num>
  <w:num w:numId="15">
    <w:abstractNumId w:val="14"/>
  </w:num>
  <w:num w:numId="16">
    <w:abstractNumId w:val="16"/>
  </w:num>
  <w:num w:numId="17">
    <w:abstractNumId w:val="11"/>
  </w:num>
  <w:num w:numId="18">
    <w:abstractNumId w:val="10"/>
  </w:num>
  <w:num w:numId="19">
    <w:abstractNumId w:val="7"/>
  </w:num>
  <w:num w:numId="20">
    <w:abstractNumId w:val="4"/>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num>
  <w:num w:numId="25">
    <w:abstractNumId w:val="1"/>
  </w:num>
  <w:num w:numId="26">
    <w:abstractNumId w:val="2"/>
  </w:num>
  <w:num w:numId="27">
    <w:abstractNumId w:val="26"/>
  </w:num>
  <w:num w:numId="28">
    <w:abstractNumId w:val="23"/>
  </w:num>
  <w:num w:numId="29">
    <w:abstractNumId w:val="25"/>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AC"/>
    <w:rsid w:val="000002A7"/>
    <w:rsid w:val="00003AC3"/>
    <w:rsid w:val="00005D6D"/>
    <w:rsid w:val="00006EFC"/>
    <w:rsid w:val="00010C89"/>
    <w:rsid w:val="00012898"/>
    <w:rsid w:val="000134AC"/>
    <w:rsid w:val="000136AE"/>
    <w:rsid w:val="00017F7A"/>
    <w:rsid w:val="00030DBB"/>
    <w:rsid w:val="000324B2"/>
    <w:rsid w:val="0003303B"/>
    <w:rsid w:val="0003750F"/>
    <w:rsid w:val="00044562"/>
    <w:rsid w:val="00047089"/>
    <w:rsid w:val="00051976"/>
    <w:rsid w:val="000526F1"/>
    <w:rsid w:val="0005341E"/>
    <w:rsid w:val="0005426D"/>
    <w:rsid w:val="000547CB"/>
    <w:rsid w:val="00056CBF"/>
    <w:rsid w:val="000631CD"/>
    <w:rsid w:val="00065E0B"/>
    <w:rsid w:val="00067D99"/>
    <w:rsid w:val="00070CD5"/>
    <w:rsid w:val="00070F8B"/>
    <w:rsid w:val="0007260B"/>
    <w:rsid w:val="000742AB"/>
    <w:rsid w:val="00074ECD"/>
    <w:rsid w:val="00075FC6"/>
    <w:rsid w:val="000768B5"/>
    <w:rsid w:val="000819E1"/>
    <w:rsid w:val="0008329D"/>
    <w:rsid w:val="00083929"/>
    <w:rsid w:val="00084AC8"/>
    <w:rsid w:val="000863B5"/>
    <w:rsid w:val="000913AD"/>
    <w:rsid w:val="000A2132"/>
    <w:rsid w:val="000A42F9"/>
    <w:rsid w:val="000A447E"/>
    <w:rsid w:val="000B216F"/>
    <w:rsid w:val="000B24D1"/>
    <w:rsid w:val="000B3645"/>
    <w:rsid w:val="000B4DBE"/>
    <w:rsid w:val="000B7809"/>
    <w:rsid w:val="000C07C9"/>
    <w:rsid w:val="000C1A1C"/>
    <w:rsid w:val="000C5A1A"/>
    <w:rsid w:val="000C7C6C"/>
    <w:rsid w:val="000D0FCE"/>
    <w:rsid w:val="000D132B"/>
    <w:rsid w:val="000D54AE"/>
    <w:rsid w:val="000D6574"/>
    <w:rsid w:val="000E1EF6"/>
    <w:rsid w:val="000E58DA"/>
    <w:rsid w:val="000E7028"/>
    <w:rsid w:val="000E7192"/>
    <w:rsid w:val="000E7422"/>
    <w:rsid w:val="000F050D"/>
    <w:rsid w:val="000F0894"/>
    <w:rsid w:val="000F14BB"/>
    <w:rsid w:val="000F16A8"/>
    <w:rsid w:val="000F1847"/>
    <w:rsid w:val="001000EF"/>
    <w:rsid w:val="001007D4"/>
    <w:rsid w:val="001026DE"/>
    <w:rsid w:val="00103231"/>
    <w:rsid w:val="001038BE"/>
    <w:rsid w:val="00103A6D"/>
    <w:rsid w:val="0012339F"/>
    <w:rsid w:val="001240E2"/>
    <w:rsid w:val="0013245E"/>
    <w:rsid w:val="001356BF"/>
    <w:rsid w:val="00140C13"/>
    <w:rsid w:val="00143A44"/>
    <w:rsid w:val="00143CCE"/>
    <w:rsid w:val="00144400"/>
    <w:rsid w:val="001453A9"/>
    <w:rsid w:val="00146ADA"/>
    <w:rsid w:val="00146BB9"/>
    <w:rsid w:val="001506C7"/>
    <w:rsid w:val="00151986"/>
    <w:rsid w:val="00154E31"/>
    <w:rsid w:val="00155621"/>
    <w:rsid w:val="00155660"/>
    <w:rsid w:val="001577BC"/>
    <w:rsid w:val="00160BFB"/>
    <w:rsid w:val="001624F5"/>
    <w:rsid w:val="001677AE"/>
    <w:rsid w:val="001678BD"/>
    <w:rsid w:val="0017175E"/>
    <w:rsid w:val="001776FD"/>
    <w:rsid w:val="00177DC8"/>
    <w:rsid w:val="001817A3"/>
    <w:rsid w:val="00185E41"/>
    <w:rsid w:val="001907A4"/>
    <w:rsid w:val="00190FF0"/>
    <w:rsid w:val="00193BC5"/>
    <w:rsid w:val="0019625E"/>
    <w:rsid w:val="001A36DA"/>
    <w:rsid w:val="001A3A92"/>
    <w:rsid w:val="001A5362"/>
    <w:rsid w:val="001A7EFB"/>
    <w:rsid w:val="001B0555"/>
    <w:rsid w:val="001B4771"/>
    <w:rsid w:val="001B5EE9"/>
    <w:rsid w:val="001B657A"/>
    <w:rsid w:val="001B65A1"/>
    <w:rsid w:val="001C2FE4"/>
    <w:rsid w:val="001C40ED"/>
    <w:rsid w:val="001D0CA0"/>
    <w:rsid w:val="001D1605"/>
    <w:rsid w:val="001D1CE5"/>
    <w:rsid w:val="001D7A5C"/>
    <w:rsid w:val="001E0A90"/>
    <w:rsid w:val="001E1BB1"/>
    <w:rsid w:val="001E4B09"/>
    <w:rsid w:val="001E7F97"/>
    <w:rsid w:val="001F1089"/>
    <w:rsid w:val="001F157C"/>
    <w:rsid w:val="001F2761"/>
    <w:rsid w:val="001F44A8"/>
    <w:rsid w:val="001F4915"/>
    <w:rsid w:val="001F7A75"/>
    <w:rsid w:val="00201EB3"/>
    <w:rsid w:val="00202328"/>
    <w:rsid w:val="00210E3E"/>
    <w:rsid w:val="00214054"/>
    <w:rsid w:val="00215965"/>
    <w:rsid w:val="00216130"/>
    <w:rsid w:val="00216335"/>
    <w:rsid w:val="002166F3"/>
    <w:rsid w:val="00221D43"/>
    <w:rsid w:val="00221FBA"/>
    <w:rsid w:val="00224929"/>
    <w:rsid w:val="002249FC"/>
    <w:rsid w:val="00226FA0"/>
    <w:rsid w:val="00230205"/>
    <w:rsid w:val="002316B1"/>
    <w:rsid w:val="00231EFB"/>
    <w:rsid w:val="0023288F"/>
    <w:rsid w:val="00234C19"/>
    <w:rsid w:val="002360B8"/>
    <w:rsid w:val="00237CA3"/>
    <w:rsid w:val="00246FBD"/>
    <w:rsid w:val="00251C15"/>
    <w:rsid w:val="00256808"/>
    <w:rsid w:val="00262AD2"/>
    <w:rsid w:val="002646BC"/>
    <w:rsid w:val="00265C26"/>
    <w:rsid w:val="00267918"/>
    <w:rsid w:val="00270B65"/>
    <w:rsid w:val="00271B81"/>
    <w:rsid w:val="00272B33"/>
    <w:rsid w:val="0027316B"/>
    <w:rsid w:val="00275B10"/>
    <w:rsid w:val="00276AC6"/>
    <w:rsid w:val="00280CF1"/>
    <w:rsid w:val="002850EC"/>
    <w:rsid w:val="00286EB6"/>
    <w:rsid w:val="002870AA"/>
    <w:rsid w:val="00287431"/>
    <w:rsid w:val="002878E3"/>
    <w:rsid w:val="002900A3"/>
    <w:rsid w:val="00290A8A"/>
    <w:rsid w:val="002923B4"/>
    <w:rsid w:val="00293690"/>
    <w:rsid w:val="002945FD"/>
    <w:rsid w:val="002958D5"/>
    <w:rsid w:val="00295ED9"/>
    <w:rsid w:val="0029678B"/>
    <w:rsid w:val="002A33B1"/>
    <w:rsid w:val="002A490C"/>
    <w:rsid w:val="002A4C55"/>
    <w:rsid w:val="002A548C"/>
    <w:rsid w:val="002A589C"/>
    <w:rsid w:val="002A77F9"/>
    <w:rsid w:val="002B07F8"/>
    <w:rsid w:val="002B13A9"/>
    <w:rsid w:val="002B22E8"/>
    <w:rsid w:val="002B5226"/>
    <w:rsid w:val="002B7153"/>
    <w:rsid w:val="002B7443"/>
    <w:rsid w:val="002C2AF8"/>
    <w:rsid w:val="002C360E"/>
    <w:rsid w:val="002C3EEB"/>
    <w:rsid w:val="002D253C"/>
    <w:rsid w:val="002D339B"/>
    <w:rsid w:val="002D3730"/>
    <w:rsid w:val="002D387B"/>
    <w:rsid w:val="002D69FD"/>
    <w:rsid w:val="002E0DCF"/>
    <w:rsid w:val="002E1E8E"/>
    <w:rsid w:val="002E1F4F"/>
    <w:rsid w:val="002F42D0"/>
    <w:rsid w:val="002F4577"/>
    <w:rsid w:val="002F4A94"/>
    <w:rsid w:val="002F5774"/>
    <w:rsid w:val="002F5F32"/>
    <w:rsid w:val="003004CE"/>
    <w:rsid w:val="00301213"/>
    <w:rsid w:val="00301415"/>
    <w:rsid w:val="00305864"/>
    <w:rsid w:val="00305B49"/>
    <w:rsid w:val="00307BCD"/>
    <w:rsid w:val="003106FF"/>
    <w:rsid w:val="00310952"/>
    <w:rsid w:val="00310ABF"/>
    <w:rsid w:val="003119DB"/>
    <w:rsid w:val="00312858"/>
    <w:rsid w:val="0031287C"/>
    <w:rsid w:val="003168BA"/>
    <w:rsid w:val="00316B4C"/>
    <w:rsid w:val="0031753D"/>
    <w:rsid w:val="00321006"/>
    <w:rsid w:val="00325AB4"/>
    <w:rsid w:val="0033087B"/>
    <w:rsid w:val="0033231B"/>
    <w:rsid w:val="00334C40"/>
    <w:rsid w:val="00337754"/>
    <w:rsid w:val="00342713"/>
    <w:rsid w:val="00343DD6"/>
    <w:rsid w:val="00347AD4"/>
    <w:rsid w:val="00354511"/>
    <w:rsid w:val="00356CD1"/>
    <w:rsid w:val="00357707"/>
    <w:rsid w:val="00361B00"/>
    <w:rsid w:val="00362E69"/>
    <w:rsid w:val="00363ECC"/>
    <w:rsid w:val="003650F5"/>
    <w:rsid w:val="00365336"/>
    <w:rsid w:val="00367C6C"/>
    <w:rsid w:val="0037051D"/>
    <w:rsid w:val="0037185E"/>
    <w:rsid w:val="0037270A"/>
    <w:rsid w:val="00373A38"/>
    <w:rsid w:val="00385062"/>
    <w:rsid w:val="003854CA"/>
    <w:rsid w:val="00385C68"/>
    <w:rsid w:val="00393A5D"/>
    <w:rsid w:val="00395C38"/>
    <w:rsid w:val="00396ABB"/>
    <w:rsid w:val="003A56B3"/>
    <w:rsid w:val="003B03F6"/>
    <w:rsid w:val="003B0989"/>
    <w:rsid w:val="003B2BD6"/>
    <w:rsid w:val="003B2DF6"/>
    <w:rsid w:val="003B443C"/>
    <w:rsid w:val="003C132F"/>
    <w:rsid w:val="003C1CCE"/>
    <w:rsid w:val="003C39AB"/>
    <w:rsid w:val="003C5E4A"/>
    <w:rsid w:val="003C613C"/>
    <w:rsid w:val="003C76BD"/>
    <w:rsid w:val="003D4197"/>
    <w:rsid w:val="003D5C81"/>
    <w:rsid w:val="003D723D"/>
    <w:rsid w:val="003E11A3"/>
    <w:rsid w:val="003E122A"/>
    <w:rsid w:val="003E1985"/>
    <w:rsid w:val="003E3620"/>
    <w:rsid w:val="003E37B3"/>
    <w:rsid w:val="003E3EAC"/>
    <w:rsid w:val="003F16C9"/>
    <w:rsid w:val="003F1C53"/>
    <w:rsid w:val="003F479D"/>
    <w:rsid w:val="00401E0B"/>
    <w:rsid w:val="00402D62"/>
    <w:rsid w:val="00405175"/>
    <w:rsid w:val="00406129"/>
    <w:rsid w:val="004131CA"/>
    <w:rsid w:val="00421B2D"/>
    <w:rsid w:val="00423FF9"/>
    <w:rsid w:val="004263E9"/>
    <w:rsid w:val="00427598"/>
    <w:rsid w:val="0043098E"/>
    <w:rsid w:val="00432CE0"/>
    <w:rsid w:val="00440183"/>
    <w:rsid w:val="00440203"/>
    <w:rsid w:val="00441779"/>
    <w:rsid w:val="00444BFD"/>
    <w:rsid w:val="0044510E"/>
    <w:rsid w:val="004455BC"/>
    <w:rsid w:val="00447524"/>
    <w:rsid w:val="00452271"/>
    <w:rsid w:val="00456ABF"/>
    <w:rsid w:val="00457762"/>
    <w:rsid w:val="0046145B"/>
    <w:rsid w:val="004621A2"/>
    <w:rsid w:val="004622A7"/>
    <w:rsid w:val="00464302"/>
    <w:rsid w:val="00471518"/>
    <w:rsid w:val="0047742C"/>
    <w:rsid w:val="00490E4D"/>
    <w:rsid w:val="004975C4"/>
    <w:rsid w:val="004A06F5"/>
    <w:rsid w:val="004A1733"/>
    <w:rsid w:val="004A1F9A"/>
    <w:rsid w:val="004A2F15"/>
    <w:rsid w:val="004A31AB"/>
    <w:rsid w:val="004A4477"/>
    <w:rsid w:val="004B216E"/>
    <w:rsid w:val="004B23FA"/>
    <w:rsid w:val="004B3A78"/>
    <w:rsid w:val="004B7ED1"/>
    <w:rsid w:val="004C3A21"/>
    <w:rsid w:val="004C3D7F"/>
    <w:rsid w:val="004C5ECD"/>
    <w:rsid w:val="004C6502"/>
    <w:rsid w:val="004C7824"/>
    <w:rsid w:val="004D4A39"/>
    <w:rsid w:val="004D537B"/>
    <w:rsid w:val="004D6514"/>
    <w:rsid w:val="004E2DA5"/>
    <w:rsid w:val="004E7832"/>
    <w:rsid w:val="004E7B51"/>
    <w:rsid w:val="004F0756"/>
    <w:rsid w:val="00501989"/>
    <w:rsid w:val="00504E50"/>
    <w:rsid w:val="00507043"/>
    <w:rsid w:val="00512336"/>
    <w:rsid w:val="00520D7C"/>
    <w:rsid w:val="005231B1"/>
    <w:rsid w:val="00524C02"/>
    <w:rsid w:val="00526849"/>
    <w:rsid w:val="00526B83"/>
    <w:rsid w:val="00530F34"/>
    <w:rsid w:val="0053260A"/>
    <w:rsid w:val="0053400C"/>
    <w:rsid w:val="00534EAB"/>
    <w:rsid w:val="00540D25"/>
    <w:rsid w:val="00541937"/>
    <w:rsid w:val="00542027"/>
    <w:rsid w:val="00542123"/>
    <w:rsid w:val="00545255"/>
    <w:rsid w:val="0054713A"/>
    <w:rsid w:val="00552DDD"/>
    <w:rsid w:val="00555015"/>
    <w:rsid w:val="00555035"/>
    <w:rsid w:val="0056385C"/>
    <w:rsid w:val="005700B6"/>
    <w:rsid w:val="0057336E"/>
    <w:rsid w:val="005761D9"/>
    <w:rsid w:val="00577F87"/>
    <w:rsid w:val="005837F3"/>
    <w:rsid w:val="005855B1"/>
    <w:rsid w:val="00587CF7"/>
    <w:rsid w:val="00591668"/>
    <w:rsid w:val="0059596C"/>
    <w:rsid w:val="005A2264"/>
    <w:rsid w:val="005A3395"/>
    <w:rsid w:val="005A42C1"/>
    <w:rsid w:val="005A653B"/>
    <w:rsid w:val="005B024A"/>
    <w:rsid w:val="005B25DB"/>
    <w:rsid w:val="005B2CC0"/>
    <w:rsid w:val="005B408C"/>
    <w:rsid w:val="005B4D40"/>
    <w:rsid w:val="005B4D61"/>
    <w:rsid w:val="005C1FA6"/>
    <w:rsid w:val="005C271E"/>
    <w:rsid w:val="005C36FC"/>
    <w:rsid w:val="005C6B9D"/>
    <w:rsid w:val="005D045E"/>
    <w:rsid w:val="005D0E78"/>
    <w:rsid w:val="005D24C7"/>
    <w:rsid w:val="005D518F"/>
    <w:rsid w:val="005D5D1C"/>
    <w:rsid w:val="005E052C"/>
    <w:rsid w:val="005E18C6"/>
    <w:rsid w:val="005F5770"/>
    <w:rsid w:val="005F5B32"/>
    <w:rsid w:val="005F6F59"/>
    <w:rsid w:val="006015A7"/>
    <w:rsid w:val="0060681D"/>
    <w:rsid w:val="00610AF7"/>
    <w:rsid w:val="00611C50"/>
    <w:rsid w:val="00612E0E"/>
    <w:rsid w:val="006216AA"/>
    <w:rsid w:val="00622857"/>
    <w:rsid w:val="00625F6C"/>
    <w:rsid w:val="006329E5"/>
    <w:rsid w:val="00633F0D"/>
    <w:rsid w:val="00634BF6"/>
    <w:rsid w:val="00642210"/>
    <w:rsid w:val="0064289F"/>
    <w:rsid w:val="0064629D"/>
    <w:rsid w:val="006501BB"/>
    <w:rsid w:val="00651354"/>
    <w:rsid w:val="00651AAB"/>
    <w:rsid w:val="00652D33"/>
    <w:rsid w:val="006563C7"/>
    <w:rsid w:val="00657879"/>
    <w:rsid w:val="00662BD0"/>
    <w:rsid w:val="006647A1"/>
    <w:rsid w:val="00670617"/>
    <w:rsid w:val="006744F9"/>
    <w:rsid w:val="006754CB"/>
    <w:rsid w:val="006760D7"/>
    <w:rsid w:val="00686D4F"/>
    <w:rsid w:val="00690FD9"/>
    <w:rsid w:val="00691D13"/>
    <w:rsid w:val="00693CC8"/>
    <w:rsid w:val="006A2327"/>
    <w:rsid w:val="006A3FAE"/>
    <w:rsid w:val="006A5DC7"/>
    <w:rsid w:val="006A5EE6"/>
    <w:rsid w:val="006A72D9"/>
    <w:rsid w:val="006B1C07"/>
    <w:rsid w:val="006B3DA8"/>
    <w:rsid w:val="006B3E9A"/>
    <w:rsid w:val="006C0889"/>
    <w:rsid w:val="006C0EB2"/>
    <w:rsid w:val="006C799F"/>
    <w:rsid w:val="006D200E"/>
    <w:rsid w:val="006D4B9E"/>
    <w:rsid w:val="006D5E0E"/>
    <w:rsid w:val="006D64B1"/>
    <w:rsid w:val="006D75DB"/>
    <w:rsid w:val="006E172B"/>
    <w:rsid w:val="006E5579"/>
    <w:rsid w:val="006E587E"/>
    <w:rsid w:val="006F08FD"/>
    <w:rsid w:val="006F2883"/>
    <w:rsid w:val="006F6CE5"/>
    <w:rsid w:val="00703851"/>
    <w:rsid w:val="00704651"/>
    <w:rsid w:val="0070701B"/>
    <w:rsid w:val="007131CD"/>
    <w:rsid w:val="007133A6"/>
    <w:rsid w:val="00714299"/>
    <w:rsid w:val="0071487F"/>
    <w:rsid w:val="00716C67"/>
    <w:rsid w:val="0071703F"/>
    <w:rsid w:val="007219F1"/>
    <w:rsid w:val="007223D4"/>
    <w:rsid w:val="00723011"/>
    <w:rsid w:val="00731011"/>
    <w:rsid w:val="0073168A"/>
    <w:rsid w:val="007323A5"/>
    <w:rsid w:val="00732A28"/>
    <w:rsid w:val="00733465"/>
    <w:rsid w:val="007339CC"/>
    <w:rsid w:val="00737299"/>
    <w:rsid w:val="007401E4"/>
    <w:rsid w:val="0074100A"/>
    <w:rsid w:val="00741C49"/>
    <w:rsid w:val="00742E3C"/>
    <w:rsid w:val="00743312"/>
    <w:rsid w:val="00744294"/>
    <w:rsid w:val="00745527"/>
    <w:rsid w:val="007519C7"/>
    <w:rsid w:val="00752EA8"/>
    <w:rsid w:val="007565DC"/>
    <w:rsid w:val="00760CAC"/>
    <w:rsid w:val="0076222D"/>
    <w:rsid w:val="0076673C"/>
    <w:rsid w:val="00771514"/>
    <w:rsid w:val="00772FAB"/>
    <w:rsid w:val="00773076"/>
    <w:rsid w:val="00776D57"/>
    <w:rsid w:val="0078219B"/>
    <w:rsid w:val="00782504"/>
    <w:rsid w:val="00783397"/>
    <w:rsid w:val="007855AE"/>
    <w:rsid w:val="00790E0C"/>
    <w:rsid w:val="00791B97"/>
    <w:rsid w:val="007925E6"/>
    <w:rsid w:val="007940A0"/>
    <w:rsid w:val="00795261"/>
    <w:rsid w:val="007A2E64"/>
    <w:rsid w:val="007A5971"/>
    <w:rsid w:val="007B09F8"/>
    <w:rsid w:val="007B0F21"/>
    <w:rsid w:val="007B2E87"/>
    <w:rsid w:val="007B4E9B"/>
    <w:rsid w:val="007C1365"/>
    <w:rsid w:val="007C3087"/>
    <w:rsid w:val="007D1FDE"/>
    <w:rsid w:val="007D36A7"/>
    <w:rsid w:val="007D40D7"/>
    <w:rsid w:val="007D76C8"/>
    <w:rsid w:val="007E6BD7"/>
    <w:rsid w:val="007E7643"/>
    <w:rsid w:val="007F0414"/>
    <w:rsid w:val="007F2F6B"/>
    <w:rsid w:val="007F2F9F"/>
    <w:rsid w:val="007F52A9"/>
    <w:rsid w:val="007F6770"/>
    <w:rsid w:val="007F7B43"/>
    <w:rsid w:val="0080033A"/>
    <w:rsid w:val="00800480"/>
    <w:rsid w:val="008011F5"/>
    <w:rsid w:val="008054E5"/>
    <w:rsid w:val="00810203"/>
    <w:rsid w:val="00810B4A"/>
    <w:rsid w:val="00810B74"/>
    <w:rsid w:val="00810C5D"/>
    <w:rsid w:val="008127A9"/>
    <w:rsid w:val="0081455F"/>
    <w:rsid w:val="00814745"/>
    <w:rsid w:val="00814E3C"/>
    <w:rsid w:val="008158AA"/>
    <w:rsid w:val="00817AD2"/>
    <w:rsid w:val="0082274D"/>
    <w:rsid w:val="00822A88"/>
    <w:rsid w:val="008243D6"/>
    <w:rsid w:val="008245BA"/>
    <w:rsid w:val="00824FDB"/>
    <w:rsid w:val="0082613D"/>
    <w:rsid w:val="0082779E"/>
    <w:rsid w:val="00830EBA"/>
    <w:rsid w:val="008318FD"/>
    <w:rsid w:val="00831BA8"/>
    <w:rsid w:val="00832CB3"/>
    <w:rsid w:val="00834791"/>
    <w:rsid w:val="008365FC"/>
    <w:rsid w:val="00837037"/>
    <w:rsid w:val="0084021C"/>
    <w:rsid w:val="00840527"/>
    <w:rsid w:val="0084293B"/>
    <w:rsid w:val="00842BB7"/>
    <w:rsid w:val="00846D1E"/>
    <w:rsid w:val="00847F95"/>
    <w:rsid w:val="008511E4"/>
    <w:rsid w:val="00854FBF"/>
    <w:rsid w:val="008560AB"/>
    <w:rsid w:val="008573D8"/>
    <w:rsid w:val="0086153E"/>
    <w:rsid w:val="008655BB"/>
    <w:rsid w:val="00866666"/>
    <w:rsid w:val="00874984"/>
    <w:rsid w:val="00875591"/>
    <w:rsid w:val="00876D03"/>
    <w:rsid w:val="00877869"/>
    <w:rsid w:val="0088225C"/>
    <w:rsid w:val="008835D2"/>
    <w:rsid w:val="0088395E"/>
    <w:rsid w:val="00886500"/>
    <w:rsid w:val="00887376"/>
    <w:rsid w:val="00890DC4"/>
    <w:rsid w:val="0089103F"/>
    <w:rsid w:val="00891EA5"/>
    <w:rsid w:val="00893B82"/>
    <w:rsid w:val="00893CCA"/>
    <w:rsid w:val="008968C3"/>
    <w:rsid w:val="008A032A"/>
    <w:rsid w:val="008A0AAE"/>
    <w:rsid w:val="008A0B57"/>
    <w:rsid w:val="008A3939"/>
    <w:rsid w:val="008A5224"/>
    <w:rsid w:val="008B4954"/>
    <w:rsid w:val="008B4B4E"/>
    <w:rsid w:val="008B60CD"/>
    <w:rsid w:val="008B79CC"/>
    <w:rsid w:val="008C1CC7"/>
    <w:rsid w:val="008C1D8E"/>
    <w:rsid w:val="008C2101"/>
    <w:rsid w:val="008D0E07"/>
    <w:rsid w:val="008D248F"/>
    <w:rsid w:val="008D56C5"/>
    <w:rsid w:val="008D7928"/>
    <w:rsid w:val="008E1E8F"/>
    <w:rsid w:val="008E22CC"/>
    <w:rsid w:val="008F1DBE"/>
    <w:rsid w:val="008F748E"/>
    <w:rsid w:val="008F78E9"/>
    <w:rsid w:val="008F7D5E"/>
    <w:rsid w:val="0090140C"/>
    <w:rsid w:val="00902C62"/>
    <w:rsid w:val="00905848"/>
    <w:rsid w:val="00910C16"/>
    <w:rsid w:val="00910D40"/>
    <w:rsid w:val="00910E4B"/>
    <w:rsid w:val="009144C6"/>
    <w:rsid w:val="00920BE6"/>
    <w:rsid w:val="00924480"/>
    <w:rsid w:val="00925CFE"/>
    <w:rsid w:val="0093211C"/>
    <w:rsid w:val="009334E5"/>
    <w:rsid w:val="00933A58"/>
    <w:rsid w:val="00937267"/>
    <w:rsid w:val="00940028"/>
    <w:rsid w:val="0094104E"/>
    <w:rsid w:val="00942154"/>
    <w:rsid w:val="00942814"/>
    <w:rsid w:val="00945D0E"/>
    <w:rsid w:val="00950E85"/>
    <w:rsid w:val="009514CE"/>
    <w:rsid w:val="00961452"/>
    <w:rsid w:val="00961499"/>
    <w:rsid w:val="00962281"/>
    <w:rsid w:val="009625C3"/>
    <w:rsid w:val="0096415E"/>
    <w:rsid w:val="00966664"/>
    <w:rsid w:val="00970346"/>
    <w:rsid w:val="00971552"/>
    <w:rsid w:val="0097586B"/>
    <w:rsid w:val="00975FFF"/>
    <w:rsid w:val="009775A3"/>
    <w:rsid w:val="0098000E"/>
    <w:rsid w:val="0098338A"/>
    <w:rsid w:val="00984315"/>
    <w:rsid w:val="00992DE0"/>
    <w:rsid w:val="00994AFF"/>
    <w:rsid w:val="009A05C9"/>
    <w:rsid w:val="009A108E"/>
    <w:rsid w:val="009A6785"/>
    <w:rsid w:val="009A7BC4"/>
    <w:rsid w:val="009B06E1"/>
    <w:rsid w:val="009B1B7F"/>
    <w:rsid w:val="009B1F3D"/>
    <w:rsid w:val="009B2821"/>
    <w:rsid w:val="009B5332"/>
    <w:rsid w:val="009B7735"/>
    <w:rsid w:val="009C0A35"/>
    <w:rsid w:val="009C3D86"/>
    <w:rsid w:val="009C4EDF"/>
    <w:rsid w:val="009C5499"/>
    <w:rsid w:val="009C566A"/>
    <w:rsid w:val="009C6212"/>
    <w:rsid w:val="009C6B7E"/>
    <w:rsid w:val="009C6D15"/>
    <w:rsid w:val="009D0E84"/>
    <w:rsid w:val="009D3629"/>
    <w:rsid w:val="009E3F69"/>
    <w:rsid w:val="009E4003"/>
    <w:rsid w:val="009E4BB7"/>
    <w:rsid w:val="009F031F"/>
    <w:rsid w:val="009F112B"/>
    <w:rsid w:val="009F1FA2"/>
    <w:rsid w:val="009F43B6"/>
    <w:rsid w:val="009F55BA"/>
    <w:rsid w:val="009F59E5"/>
    <w:rsid w:val="009F5DE9"/>
    <w:rsid w:val="00A00DDD"/>
    <w:rsid w:val="00A05998"/>
    <w:rsid w:val="00A11AF4"/>
    <w:rsid w:val="00A11B6B"/>
    <w:rsid w:val="00A13E6A"/>
    <w:rsid w:val="00A14124"/>
    <w:rsid w:val="00A17EE3"/>
    <w:rsid w:val="00A23D57"/>
    <w:rsid w:val="00A3092F"/>
    <w:rsid w:val="00A322FC"/>
    <w:rsid w:val="00A33941"/>
    <w:rsid w:val="00A34DA5"/>
    <w:rsid w:val="00A3530E"/>
    <w:rsid w:val="00A36450"/>
    <w:rsid w:val="00A376C6"/>
    <w:rsid w:val="00A37E96"/>
    <w:rsid w:val="00A411C7"/>
    <w:rsid w:val="00A41368"/>
    <w:rsid w:val="00A45517"/>
    <w:rsid w:val="00A537A2"/>
    <w:rsid w:val="00A5504B"/>
    <w:rsid w:val="00A554FD"/>
    <w:rsid w:val="00A63E18"/>
    <w:rsid w:val="00A710CA"/>
    <w:rsid w:val="00A7495E"/>
    <w:rsid w:val="00A824FE"/>
    <w:rsid w:val="00A85639"/>
    <w:rsid w:val="00A92869"/>
    <w:rsid w:val="00A94A93"/>
    <w:rsid w:val="00A951E2"/>
    <w:rsid w:val="00A954D4"/>
    <w:rsid w:val="00A968FB"/>
    <w:rsid w:val="00AA0B2A"/>
    <w:rsid w:val="00AA399F"/>
    <w:rsid w:val="00AA3CC7"/>
    <w:rsid w:val="00AA612B"/>
    <w:rsid w:val="00AB0800"/>
    <w:rsid w:val="00AB0DFA"/>
    <w:rsid w:val="00AB1DD0"/>
    <w:rsid w:val="00AB319F"/>
    <w:rsid w:val="00AB3608"/>
    <w:rsid w:val="00AB36A7"/>
    <w:rsid w:val="00AB7FA2"/>
    <w:rsid w:val="00AC049B"/>
    <w:rsid w:val="00AC3179"/>
    <w:rsid w:val="00AC3B8D"/>
    <w:rsid w:val="00AD426B"/>
    <w:rsid w:val="00AD4D06"/>
    <w:rsid w:val="00AD5C9F"/>
    <w:rsid w:val="00AD62D7"/>
    <w:rsid w:val="00AE00D6"/>
    <w:rsid w:val="00AE12EA"/>
    <w:rsid w:val="00AE32A5"/>
    <w:rsid w:val="00AE4827"/>
    <w:rsid w:val="00AE52A1"/>
    <w:rsid w:val="00AE6E48"/>
    <w:rsid w:val="00AF03D2"/>
    <w:rsid w:val="00AF044F"/>
    <w:rsid w:val="00AF6C98"/>
    <w:rsid w:val="00B00537"/>
    <w:rsid w:val="00B0058C"/>
    <w:rsid w:val="00B00E50"/>
    <w:rsid w:val="00B01A2B"/>
    <w:rsid w:val="00B01C3A"/>
    <w:rsid w:val="00B03827"/>
    <w:rsid w:val="00B03C0A"/>
    <w:rsid w:val="00B1242B"/>
    <w:rsid w:val="00B15198"/>
    <w:rsid w:val="00B16A78"/>
    <w:rsid w:val="00B16D82"/>
    <w:rsid w:val="00B1771D"/>
    <w:rsid w:val="00B23289"/>
    <w:rsid w:val="00B24983"/>
    <w:rsid w:val="00B26392"/>
    <w:rsid w:val="00B26C59"/>
    <w:rsid w:val="00B276C6"/>
    <w:rsid w:val="00B32CBB"/>
    <w:rsid w:val="00B3385E"/>
    <w:rsid w:val="00B33AF2"/>
    <w:rsid w:val="00B348D2"/>
    <w:rsid w:val="00B36C3D"/>
    <w:rsid w:val="00B36C61"/>
    <w:rsid w:val="00B4050C"/>
    <w:rsid w:val="00B508FA"/>
    <w:rsid w:val="00B518BF"/>
    <w:rsid w:val="00B52AC7"/>
    <w:rsid w:val="00B53A3A"/>
    <w:rsid w:val="00B53E7A"/>
    <w:rsid w:val="00B54975"/>
    <w:rsid w:val="00B54FF1"/>
    <w:rsid w:val="00B6681E"/>
    <w:rsid w:val="00B71409"/>
    <w:rsid w:val="00B73EF4"/>
    <w:rsid w:val="00B746CF"/>
    <w:rsid w:val="00B75398"/>
    <w:rsid w:val="00B77219"/>
    <w:rsid w:val="00B8283C"/>
    <w:rsid w:val="00B83CAD"/>
    <w:rsid w:val="00B84281"/>
    <w:rsid w:val="00B857B2"/>
    <w:rsid w:val="00B9444A"/>
    <w:rsid w:val="00B96E1F"/>
    <w:rsid w:val="00BA1B30"/>
    <w:rsid w:val="00BA3B3B"/>
    <w:rsid w:val="00BA5963"/>
    <w:rsid w:val="00BA6400"/>
    <w:rsid w:val="00BA6B93"/>
    <w:rsid w:val="00BB183F"/>
    <w:rsid w:val="00BB1BFC"/>
    <w:rsid w:val="00BB20C3"/>
    <w:rsid w:val="00BB39CA"/>
    <w:rsid w:val="00BB4830"/>
    <w:rsid w:val="00BB7F3D"/>
    <w:rsid w:val="00BC4B04"/>
    <w:rsid w:val="00BC5053"/>
    <w:rsid w:val="00BC739A"/>
    <w:rsid w:val="00BD175C"/>
    <w:rsid w:val="00BD52B4"/>
    <w:rsid w:val="00BD5FD4"/>
    <w:rsid w:val="00BE0133"/>
    <w:rsid w:val="00BE0633"/>
    <w:rsid w:val="00BE0D6C"/>
    <w:rsid w:val="00BE69AB"/>
    <w:rsid w:val="00BF1051"/>
    <w:rsid w:val="00BF141D"/>
    <w:rsid w:val="00BF15E1"/>
    <w:rsid w:val="00BF1DF6"/>
    <w:rsid w:val="00BF5CFD"/>
    <w:rsid w:val="00BF73EE"/>
    <w:rsid w:val="00C038B5"/>
    <w:rsid w:val="00C0424C"/>
    <w:rsid w:val="00C05CD4"/>
    <w:rsid w:val="00C074E8"/>
    <w:rsid w:val="00C110CA"/>
    <w:rsid w:val="00C12C0F"/>
    <w:rsid w:val="00C13A62"/>
    <w:rsid w:val="00C1430A"/>
    <w:rsid w:val="00C15733"/>
    <w:rsid w:val="00C161DB"/>
    <w:rsid w:val="00C17272"/>
    <w:rsid w:val="00C178F0"/>
    <w:rsid w:val="00C24FAF"/>
    <w:rsid w:val="00C2566D"/>
    <w:rsid w:val="00C26726"/>
    <w:rsid w:val="00C26ED9"/>
    <w:rsid w:val="00C302AE"/>
    <w:rsid w:val="00C37FEE"/>
    <w:rsid w:val="00C40BA9"/>
    <w:rsid w:val="00C40DEC"/>
    <w:rsid w:val="00C431A1"/>
    <w:rsid w:val="00C45783"/>
    <w:rsid w:val="00C53FC9"/>
    <w:rsid w:val="00C62EF3"/>
    <w:rsid w:val="00C656D9"/>
    <w:rsid w:val="00C667B3"/>
    <w:rsid w:val="00C66E06"/>
    <w:rsid w:val="00C73473"/>
    <w:rsid w:val="00C755F9"/>
    <w:rsid w:val="00C77D04"/>
    <w:rsid w:val="00C8185C"/>
    <w:rsid w:val="00C824D0"/>
    <w:rsid w:val="00C83B8A"/>
    <w:rsid w:val="00C852B4"/>
    <w:rsid w:val="00C94D9C"/>
    <w:rsid w:val="00C97D15"/>
    <w:rsid w:val="00CA0A9F"/>
    <w:rsid w:val="00CA13D8"/>
    <w:rsid w:val="00CA2551"/>
    <w:rsid w:val="00CA410C"/>
    <w:rsid w:val="00CA7AD2"/>
    <w:rsid w:val="00CB27B3"/>
    <w:rsid w:val="00CC6564"/>
    <w:rsid w:val="00CD04E8"/>
    <w:rsid w:val="00CE0739"/>
    <w:rsid w:val="00CE2F53"/>
    <w:rsid w:val="00CF31DC"/>
    <w:rsid w:val="00CF4965"/>
    <w:rsid w:val="00CF4D7F"/>
    <w:rsid w:val="00CF5E37"/>
    <w:rsid w:val="00D012C9"/>
    <w:rsid w:val="00D06052"/>
    <w:rsid w:val="00D0614E"/>
    <w:rsid w:val="00D064F8"/>
    <w:rsid w:val="00D073D1"/>
    <w:rsid w:val="00D07751"/>
    <w:rsid w:val="00D10926"/>
    <w:rsid w:val="00D126E1"/>
    <w:rsid w:val="00D1289A"/>
    <w:rsid w:val="00D12DCE"/>
    <w:rsid w:val="00D13DF7"/>
    <w:rsid w:val="00D14294"/>
    <w:rsid w:val="00D14BE5"/>
    <w:rsid w:val="00D14DE3"/>
    <w:rsid w:val="00D22A48"/>
    <w:rsid w:val="00D23C2B"/>
    <w:rsid w:val="00D2600B"/>
    <w:rsid w:val="00D26AFA"/>
    <w:rsid w:val="00D337FF"/>
    <w:rsid w:val="00D33A59"/>
    <w:rsid w:val="00D33F6C"/>
    <w:rsid w:val="00D352E6"/>
    <w:rsid w:val="00D3569F"/>
    <w:rsid w:val="00D364B3"/>
    <w:rsid w:val="00D406C6"/>
    <w:rsid w:val="00D41770"/>
    <w:rsid w:val="00D43930"/>
    <w:rsid w:val="00D43A69"/>
    <w:rsid w:val="00D462F1"/>
    <w:rsid w:val="00D46B9C"/>
    <w:rsid w:val="00D47E45"/>
    <w:rsid w:val="00D53589"/>
    <w:rsid w:val="00D5447A"/>
    <w:rsid w:val="00D65EA6"/>
    <w:rsid w:val="00D66920"/>
    <w:rsid w:val="00D677DF"/>
    <w:rsid w:val="00D709CF"/>
    <w:rsid w:val="00D7238E"/>
    <w:rsid w:val="00D72B17"/>
    <w:rsid w:val="00D761D8"/>
    <w:rsid w:val="00D7698C"/>
    <w:rsid w:val="00D811FF"/>
    <w:rsid w:val="00D85631"/>
    <w:rsid w:val="00D85C30"/>
    <w:rsid w:val="00D86CB6"/>
    <w:rsid w:val="00D91D86"/>
    <w:rsid w:val="00D923A7"/>
    <w:rsid w:val="00D95769"/>
    <w:rsid w:val="00D95BD6"/>
    <w:rsid w:val="00DA2232"/>
    <w:rsid w:val="00DA37E6"/>
    <w:rsid w:val="00DA518B"/>
    <w:rsid w:val="00DA5CBB"/>
    <w:rsid w:val="00DB1F29"/>
    <w:rsid w:val="00DC13A8"/>
    <w:rsid w:val="00DC2000"/>
    <w:rsid w:val="00DC257D"/>
    <w:rsid w:val="00DC508A"/>
    <w:rsid w:val="00DD2880"/>
    <w:rsid w:val="00DD347D"/>
    <w:rsid w:val="00DD6FBA"/>
    <w:rsid w:val="00DD78B0"/>
    <w:rsid w:val="00DD7A9F"/>
    <w:rsid w:val="00DE4194"/>
    <w:rsid w:val="00DE4ED5"/>
    <w:rsid w:val="00DF7FB4"/>
    <w:rsid w:val="00E02D4E"/>
    <w:rsid w:val="00E03206"/>
    <w:rsid w:val="00E053A0"/>
    <w:rsid w:val="00E05AF4"/>
    <w:rsid w:val="00E120BB"/>
    <w:rsid w:val="00E12EE9"/>
    <w:rsid w:val="00E13A3D"/>
    <w:rsid w:val="00E26368"/>
    <w:rsid w:val="00E26C58"/>
    <w:rsid w:val="00E2724B"/>
    <w:rsid w:val="00E3107C"/>
    <w:rsid w:val="00E31B25"/>
    <w:rsid w:val="00E333CC"/>
    <w:rsid w:val="00E35A46"/>
    <w:rsid w:val="00E35B79"/>
    <w:rsid w:val="00E37546"/>
    <w:rsid w:val="00E47877"/>
    <w:rsid w:val="00E51B1F"/>
    <w:rsid w:val="00E51CED"/>
    <w:rsid w:val="00E53AB3"/>
    <w:rsid w:val="00E56CED"/>
    <w:rsid w:val="00E56DBF"/>
    <w:rsid w:val="00E733C7"/>
    <w:rsid w:val="00E73EB6"/>
    <w:rsid w:val="00E7437C"/>
    <w:rsid w:val="00E75143"/>
    <w:rsid w:val="00E77A79"/>
    <w:rsid w:val="00E8789B"/>
    <w:rsid w:val="00E91EAB"/>
    <w:rsid w:val="00E94B33"/>
    <w:rsid w:val="00E95A25"/>
    <w:rsid w:val="00E95C61"/>
    <w:rsid w:val="00E9627E"/>
    <w:rsid w:val="00E971D9"/>
    <w:rsid w:val="00EA2232"/>
    <w:rsid w:val="00EA6B12"/>
    <w:rsid w:val="00EA7656"/>
    <w:rsid w:val="00EB1383"/>
    <w:rsid w:val="00EB394C"/>
    <w:rsid w:val="00EB5204"/>
    <w:rsid w:val="00EB6746"/>
    <w:rsid w:val="00EB753A"/>
    <w:rsid w:val="00EB7D31"/>
    <w:rsid w:val="00EB7F6B"/>
    <w:rsid w:val="00EC26F0"/>
    <w:rsid w:val="00EC3FCD"/>
    <w:rsid w:val="00EC4861"/>
    <w:rsid w:val="00EC6193"/>
    <w:rsid w:val="00EC6383"/>
    <w:rsid w:val="00EC7F4C"/>
    <w:rsid w:val="00ED2E65"/>
    <w:rsid w:val="00ED32AF"/>
    <w:rsid w:val="00ED5E7A"/>
    <w:rsid w:val="00ED6C6B"/>
    <w:rsid w:val="00EE2540"/>
    <w:rsid w:val="00EE3717"/>
    <w:rsid w:val="00EE3760"/>
    <w:rsid w:val="00EE45D0"/>
    <w:rsid w:val="00EE4C6B"/>
    <w:rsid w:val="00EE5F60"/>
    <w:rsid w:val="00EE6556"/>
    <w:rsid w:val="00EE6E9C"/>
    <w:rsid w:val="00EF108F"/>
    <w:rsid w:val="00EF2DF4"/>
    <w:rsid w:val="00EF30E2"/>
    <w:rsid w:val="00EF7BF2"/>
    <w:rsid w:val="00F00DBF"/>
    <w:rsid w:val="00F01AB5"/>
    <w:rsid w:val="00F029FE"/>
    <w:rsid w:val="00F05553"/>
    <w:rsid w:val="00F05704"/>
    <w:rsid w:val="00F104BF"/>
    <w:rsid w:val="00F11E26"/>
    <w:rsid w:val="00F2056C"/>
    <w:rsid w:val="00F21072"/>
    <w:rsid w:val="00F212D6"/>
    <w:rsid w:val="00F21F6A"/>
    <w:rsid w:val="00F30AAA"/>
    <w:rsid w:val="00F332BE"/>
    <w:rsid w:val="00F33BCA"/>
    <w:rsid w:val="00F341A3"/>
    <w:rsid w:val="00F3709F"/>
    <w:rsid w:val="00F37492"/>
    <w:rsid w:val="00F41793"/>
    <w:rsid w:val="00F43638"/>
    <w:rsid w:val="00F43CEA"/>
    <w:rsid w:val="00F441DC"/>
    <w:rsid w:val="00F464C1"/>
    <w:rsid w:val="00F46A86"/>
    <w:rsid w:val="00F50D0C"/>
    <w:rsid w:val="00F51B7C"/>
    <w:rsid w:val="00F52F80"/>
    <w:rsid w:val="00F53434"/>
    <w:rsid w:val="00F56857"/>
    <w:rsid w:val="00F617FE"/>
    <w:rsid w:val="00F61C31"/>
    <w:rsid w:val="00F624AD"/>
    <w:rsid w:val="00F6389E"/>
    <w:rsid w:val="00F73006"/>
    <w:rsid w:val="00F835FE"/>
    <w:rsid w:val="00F836C1"/>
    <w:rsid w:val="00F838CF"/>
    <w:rsid w:val="00F86156"/>
    <w:rsid w:val="00F864F8"/>
    <w:rsid w:val="00F86C86"/>
    <w:rsid w:val="00F8787D"/>
    <w:rsid w:val="00F902C4"/>
    <w:rsid w:val="00FA19CD"/>
    <w:rsid w:val="00FA3BA4"/>
    <w:rsid w:val="00FA50F7"/>
    <w:rsid w:val="00FA7835"/>
    <w:rsid w:val="00FB18A5"/>
    <w:rsid w:val="00FB233D"/>
    <w:rsid w:val="00FB799E"/>
    <w:rsid w:val="00FB7B5C"/>
    <w:rsid w:val="00FC0DDA"/>
    <w:rsid w:val="00FC1155"/>
    <w:rsid w:val="00FC28E6"/>
    <w:rsid w:val="00FC4A97"/>
    <w:rsid w:val="00FC56E8"/>
    <w:rsid w:val="00FD1D86"/>
    <w:rsid w:val="00FD2BB7"/>
    <w:rsid w:val="00FD3C14"/>
    <w:rsid w:val="00FD79BA"/>
    <w:rsid w:val="00FE25E5"/>
    <w:rsid w:val="00FE3EE4"/>
    <w:rsid w:val="00FF1ADC"/>
    <w:rsid w:val="00FF2C2B"/>
    <w:rsid w:val="00FF5C43"/>
    <w:rsid w:val="00FF5C6C"/>
    <w:rsid w:val="00FF5E1C"/>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7F5F4"/>
  <w15:docId w15:val="{7A7B024B-51C8-4046-BE04-2B1701F6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A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134AC"/>
    <w:pPr>
      <w:keepNext/>
      <w:jc w:val="center"/>
      <w:outlineLvl w:val="0"/>
    </w:pPr>
    <w:rPr>
      <w:rFonts w:ascii="Calisto MT" w:hAnsi="Calisto MT"/>
      <w:b/>
      <w:i/>
      <w:sz w:val="36"/>
      <w:u w:val="single"/>
    </w:rPr>
  </w:style>
  <w:style w:type="paragraph" w:styleId="Heading2">
    <w:name w:val="heading 2"/>
    <w:basedOn w:val="Normal"/>
    <w:next w:val="Normal"/>
    <w:link w:val="Heading2Char"/>
    <w:qFormat/>
    <w:rsid w:val="000134AC"/>
    <w:pPr>
      <w:keepNext/>
      <w:jc w:val="center"/>
      <w:outlineLvl w:val="1"/>
    </w:pPr>
    <w:rPr>
      <w:rFonts w:ascii="Calisto MT" w:hAnsi="Calisto MT"/>
      <w:b/>
      <w:sz w:val="32"/>
    </w:rPr>
  </w:style>
  <w:style w:type="paragraph" w:styleId="Heading5">
    <w:name w:val="heading 5"/>
    <w:basedOn w:val="Normal"/>
    <w:next w:val="Normal"/>
    <w:link w:val="Heading5Char"/>
    <w:qFormat/>
    <w:rsid w:val="000134AC"/>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Calisto MT" w:hAnsi="Calisto MT"/>
      <w:b/>
    </w:rPr>
  </w:style>
  <w:style w:type="paragraph" w:styleId="Heading8">
    <w:name w:val="heading 8"/>
    <w:basedOn w:val="Normal"/>
    <w:next w:val="Normal"/>
    <w:link w:val="Heading8Char"/>
    <w:uiPriority w:val="9"/>
    <w:semiHidden/>
    <w:unhideWhenUsed/>
    <w:qFormat/>
    <w:rsid w:val="009B282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4AC"/>
    <w:rPr>
      <w:rFonts w:ascii="Calisto MT" w:eastAsia="Times New Roman" w:hAnsi="Calisto MT" w:cs="Times New Roman"/>
      <w:b/>
      <w:i/>
      <w:snapToGrid w:val="0"/>
      <w:sz w:val="36"/>
      <w:szCs w:val="20"/>
      <w:u w:val="single"/>
    </w:rPr>
  </w:style>
  <w:style w:type="character" w:customStyle="1" w:styleId="Heading2Char">
    <w:name w:val="Heading 2 Char"/>
    <w:basedOn w:val="DefaultParagraphFont"/>
    <w:link w:val="Heading2"/>
    <w:rsid w:val="000134AC"/>
    <w:rPr>
      <w:rFonts w:ascii="Calisto MT" w:eastAsia="Times New Roman" w:hAnsi="Calisto MT" w:cs="Times New Roman"/>
      <w:b/>
      <w:snapToGrid w:val="0"/>
      <w:sz w:val="32"/>
      <w:szCs w:val="20"/>
    </w:rPr>
  </w:style>
  <w:style w:type="character" w:customStyle="1" w:styleId="Heading5Char">
    <w:name w:val="Heading 5 Char"/>
    <w:basedOn w:val="DefaultParagraphFont"/>
    <w:link w:val="Heading5"/>
    <w:rsid w:val="000134AC"/>
    <w:rPr>
      <w:rFonts w:ascii="Calisto MT" w:eastAsia="Times New Roman" w:hAnsi="Calisto MT" w:cs="Times New Roman"/>
      <w:b/>
      <w:snapToGrid w:val="0"/>
      <w:sz w:val="24"/>
      <w:szCs w:val="20"/>
    </w:rPr>
  </w:style>
  <w:style w:type="paragraph" w:styleId="Header">
    <w:name w:val="header"/>
    <w:basedOn w:val="Normal"/>
    <w:link w:val="HeaderChar"/>
    <w:uiPriority w:val="99"/>
    <w:rsid w:val="000134AC"/>
    <w:pPr>
      <w:tabs>
        <w:tab w:val="center" w:pos="4320"/>
        <w:tab w:val="right" w:pos="8640"/>
      </w:tabs>
    </w:pPr>
  </w:style>
  <w:style w:type="character" w:customStyle="1" w:styleId="HeaderChar">
    <w:name w:val="Header Char"/>
    <w:basedOn w:val="DefaultParagraphFont"/>
    <w:link w:val="Header"/>
    <w:uiPriority w:val="99"/>
    <w:rsid w:val="000134AC"/>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134AC"/>
    <w:pPr>
      <w:tabs>
        <w:tab w:val="center" w:pos="4320"/>
        <w:tab w:val="right" w:pos="8640"/>
      </w:tabs>
    </w:pPr>
  </w:style>
  <w:style w:type="character" w:customStyle="1" w:styleId="FooterChar">
    <w:name w:val="Footer Char"/>
    <w:basedOn w:val="DefaultParagraphFont"/>
    <w:link w:val="Footer"/>
    <w:uiPriority w:val="99"/>
    <w:rsid w:val="000134AC"/>
    <w:rPr>
      <w:rFonts w:ascii="Times New Roman" w:eastAsia="Times New Roman" w:hAnsi="Times New Roman" w:cs="Times New Roman"/>
      <w:snapToGrid w:val="0"/>
      <w:sz w:val="24"/>
      <w:szCs w:val="20"/>
    </w:rPr>
  </w:style>
  <w:style w:type="character" w:styleId="PageNumber">
    <w:name w:val="page number"/>
    <w:basedOn w:val="DefaultParagraphFont"/>
    <w:semiHidden/>
    <w:rsid w:val="000134AC"/>
  </w:style>
  <w:style w:type="paragraph" w:styleId="BodyTextIndent">
    <w:name w:val="Body Text Indent"/>
    <w:basedOn w:val="Normal"/>
    <w:link w:val="BodyTextIndentChar"/>
    <w:semiHidden/>
    <w:rsid w:val="000134A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Calisto MT" w:hAnsi="Calisto MT"/>
    </w:rPr>
  </w:style>
  <w:style w:type="character" w:customStyle="1" w:styleId="BodyTextIndentChar">
    <w:name w:val="Body Text Indent Char"/>
    <w:basedOn w:val="DefaultParagraphFont"/>
    <w:link w:val="BodyTextIndent"/>
    <w:semiHidden/>
    <w:rsid w:val="000134AC"/>
    <w:rPr>
      <w:rFonts w:ascii="Calisto MT" w:eastAsia="Times New Roman" w:hAnsi="Calisto MT" w:cs="Times New Roman"/>
      <w:snapToGrid w:val="0"/>
      <w:sz w:val="24"/>
      <w:szCs w:val="20"/>
    </w:rPr>
  </w:style>
  <w:style w:type="paragraph" w:styleId="BodyText">
    <w:name w:val="Body Text"/>
    <w:basedOn w:val="Normal"/>
    <w:link w:val="BodyTextChar"/>
    <w:semiHidden/>
    <w:rsid w:val="000134A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sto MT" w:hAnsi="Calisto MT"/>
      <w:sz w:val="20"/>
    </w:rPr>
  </w:style>
  <w:style w:type="character" w:customStyle="1" w:styleId="BodyTextChar">
    <w:name w:val="Body Text Char"/>
    <w:basedOn w:val="DefaultParagraphFont"/>
    <w:link w:val="BodyText"/>
    <w:semiHidden/>
    <w:rsid w:val="000134AC"/>
    <w:rPr>
      <w:rFonts w:ascii="Calisto MT" w:eastAsia="Times New Roman" w:hAnsi="Calisto MT" w:cs="Times New Roman"/>
      <w:snapToGrid w:val="0"/>
      <w:sz w:val="20"/>
      <w:szCs w:val="20"/>
    </w:rPr>
  </w:style>
  <w:style w:type="character" w:styleId="Hyperlink">
    <w:name w:val="Hyperlink"/>
    <w:semiHidden/>
    <w:rsid w:val="000134AC"/>
    <w:rPr>
      <w:color w:val="0000FF"/>
      <w:u w:val="single"/>
    </w:rPr>
  </w:style>
  <w:style w:type="paragraph" w:styleId="BodyText3">
    <w:name w:val="Body Text 3"/>
    <w:basedOn w:val="Normal"/>
    <w:link w:val="BodyText3Char"/>
    <w:semiHidden/>
    <w:rsid w:val="000134AC"/>
    <w:pPr>
      <w:tabs>
        <w:tab w:val="left" w:pos="720"/>
        <w:tab w:val="left" w:pos="5040"/>
        <w:tab w:val="left" w:pos="5400"/>
      </w:tabs>
      <w:spacing w:before="120"/>
      <w:ind w:right="720"/>
    </w:pPr>
  </w:style>
  <w:style w:type="character" w:customStyle="1" w:styleId="BodyText3Char">
    <w:name w:val="Body Text 3 Char"/>
    <w:basedOn w:val="DefaultParagraphFont"/>
    <w:link w:val="BodyText3"/>
    <w:semiHidden/>
    <w:rsid w:val="000134AC"/>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134AC"/>
    <w:rPr>
      <w:rFonts w:ascii="Tahoma" w:hAnsi="Tahoma" w:cs="Tahoma"/>
      <w:sz w:val="16"/>
      <w:szCs w:val="16"/>
    </w:rPr>
  </w:style>
  <w:style w:type="character" w:customStyle="1" w:styleId="BalloonTextChar">
    <w:name w:val="Balloon Text Char"/>
    <w:basedOn w:val="DefaultParagraphFont"/>
    <w:link w:val="BalloonText"/>
    <w:uiPriority w:val="99"/>
    <w:semiHidden/>
    <w:rsid w:val="000134AC"/>
    <w:rPr>
      <w:rFonts w:ascii="Tahoma" w:eastAsia="Times New Roman" w:hAnsi="Tahoma" w:cs="Tahoma"/>
      <w:snapToGrid w:val="0"/>
      <w:sz w:val="16"/>
      <w:szCs w:val="16"/>
    </w:rPr>
  </w:style>
  <w:style w:type="paragraph" w:styleId="ListParagraph">
    <w:name w:val="List Paragraph"/>
    <w:basedOn w:val="Normal"/>
    <w:uiPriority w:val="34"/>
    <w:qFormat/>
    <w:rsid w:val="00393A5D"/>
    <w:pPr>
      <w:ind w:left="720"/>
      <w:contextualSpacing/>
    </w:pPr>
  </w:style>
  <w:style w:type="numbering" w:customStyle="1" w:styleId="GOCO">
    <w:name w:val="GOCO"/>
    <w:uiPriority w:val="99"/>
    <w:rsid w:val="00393A5D"/>
    <w:pPr>
      <w:numPr>
        <w:numId w:val="7"/>
      </w:numPr>
    </w:pPr>
  </w:style>
  <w:style w:type="paragraph" w:styleId="FootnoteText">
    <w:name w:val="footnote text"/>
    <w:basedOn w:val="Normal"/>
    <w:link w:val="FootnoteTextChar"/>
    <w:semiHidden/>
    <w:rsid w:val="006744F9"/>
    <w:rPr>
      <w:sz w:val="20"/>
    </w:rPr>
  </w:style>
  <w:style w:type="character" w:customStyle="1" w:styleId="FootnoteTextChar">
    <w:name w:val="Footnote Text Char"/>
    <w:basedOn w:val="DefaultParagraphFont"/>
    <w:link w:val="FootnoteText"/>
    <w:semiHidden/>
    <w:rsid w:val="006744F9"/>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92869"/>
    <w:rPr>
      <w:sz w:val="16"/>
      <w:szCs w:val="16"/>
    </w:rPr>
  </w:style>
  <w:style w:type="paragraph" w:styleId="CommentText">
    <w:name w:val="annotation text"/>
    <w:basedOn w:val="Normal"/>
    <w:link w:val="CommentTextChar"/>
    <w:uiPriority w:val="99"/>
    <w:semiHidden/>
    <w:unhideWhenUsed/>
    <w:rsid w:val="00A92869"/>
    <w:rPr>
      <w:sz w:val="20"/>
    </w:rPr>
  </w:style>
  <w:style w:type="character" w:customStyle="1" w:styleId="CommentTextChar">
    <w:name w:val="Comment Text Char"/>
    <w:basedOn w:val="DefaultParagraphFont"/>
    <w:link w:val="CommentText"/>
    <w:uiPriority w:val="99"/>
    <w:semiHidden/>
    <w:rsid w:val="00A9286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92869"/>
    <w:rPr>
      <w:b/>
      <w:bCs/>
    </w:rPr>
  </w:style>
  <w:style w:type="character" w:customStyle="1" w:styleId="CommentSubjectChar">
    <w:name w:val="Comment Subject Char"/>
    <w:basedOn w:val="CommentTextChar"/>
    <w:link w:val="CommentSubject"/>
    <w:uiPriority w:val="99"/>
    <w:semiHidden/>
    <w:rsid w:val="00A92869"/>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1A5362"/>
    <w:rPr>
      <w:color w:val="800080" w:themeColor="followedHyperlink"/>
      <w:u w:val="single"/>
    </w:rPr>
  </w:style>
  <w:style w:type="paragraph" w:styleId="NormalWeb">
    <w:name w:val="Normal (Web)"/>
    <w:basedOn w:val="Normal"/>
    <w:uiPriority w:val="99"/>
    <w:semiHidden/>
    <w:unhideWhenUsed/>
    <w:rsid w:val="00925CFE"/>
    <w:pPr>
      <w:widowControl/>
      <w:spacing w:before="100" w:beforeAutospacing="1" w:after="100" w:afterAutospacing="1"/>
    </w:pPr>
    <w:rPr>
      <w:snapToGrid/>
      <w:szCs w:val="24"/>
    </w:rPr>
  </w:style>
  <w:style w:type="character" w:styleId="FootnoteReference">
    <w:name w:val="footnote reference"/>
    <w:basedOn w:val="DefaultParagraphFont"/>
    <w:uiPriority w:val="99"/>
    <w:semiHidden/>
    <w:unhideWhenUsed/>
    <w:rsid w:val="00BB20C3"/>
    <w:rPr>
      <w:vertAlign w:val="superscript"/>
    </w:rPr>
  </w:style>
  <w:style w:type="character" w:styleId="PlaceholderText">
    <w:name w:val="Placeholder Text"/>
    <w:basedOn w:val="DefaultParagraphFont"/>
    <w:uiPriority w:val="99"/>
    <w:semiHidden/>
    <w:rsid w:val="001240E2"/>
    <w:rPr>
      <w:color w:val="808080"/>
    </w:rPr>
  </w:style>
  <w:style w:type="paragraph" w:styleId="Revision">
    <w:name w:val="Revision"/>
    <w:hidden/>
    <w:uiPriority w:val="99"/>
    <w:semiHidden/>
    <w:rsid w:val="00893B82"/>
    <w:pPr>
      <w:spacing w:after="0" w:line="240" w:lineRule="auto"/>
    </w:pPr>
    <w:rPr>
      <w:rFonts w:ascii="Times New Roman" w:eastAsia="Times New Roman" w:hAnsi="Times New Roman" w:cs="Times New Roman"/>
      <w:snapToGrid w:val="0"/>
      <w:sz w:val="24"/>
      <w:szCs w:val="20"/>
    </w:rPr>
  </w:style>
  <w:style w:type="paragraph" w:customStyle="1" w:styleId="Default">
    <w:name w:val="Default"/>
    <w:rsid w:val="003B03F6"/>
    <w:pPr>
      <w:autoSpaceDE w:val="0"/>
      <w:autoSpaceDN w:val="0"/>
      <w:adjustRightInd w:val="0"/>
      <w:spacing w:after="0" w:line="240" w:lineRule="auto"/>
    </w:pPr>
    <w:rPr>
      <w:rFonts w:ascii="Cambria" w:hAnsi="Cambria" w:cs="Cambria"/>
      <w:color w:val="000000"/>
      <w:sz w:val="24"/>
      <w:szCs w:val="24"/>
    </w:rPr>
  </w:style>
  <w:style w:type="character" w:customStyle="1" w:styleId="Mention1">
    <w:name w:val="Mention1"/>
    <w:basedOn w:val="DefaultParagraphFont"/>
    <w:uiPriority w:val="99"/>
    <w:semiHidden/>
    <w:unhideWhenUsed/>
    <w:rsid w:val="00F52F80"/>
    <w:rPr>
      <w:color w:val="2B579A"/>
      <w:shd w:val="clear" w:color="auto" w:fill="E6E6E6"/>
    </w:rPr>
  </w:style>
  <w:style w:type="character" w:customStyle="1" w:styleId="Mention2">
    <w:name w:val="Mention2"/>
    <w:basedOn w:val="DefaultParagraphFont"/>
    <w:uiPriority w:val="99"/>
    <w:semiHidden/>
    <w:unhideWhenUsed/>
    <w:rsid w:val="000E1EF6"/>
    <w:rPr>
      <w:color w:val="2B579A"/>
      <w:shd w:val="clear" w:color="auto" w:fill="E6E6E6"/>
    </w:rPr>
  </w:style>
  <w:style w:type="paragraph" w:styleId="BodyTextIndent2">
    <w:name w:val="Body Text Indent 2"/>
    <w:basedOn w:val="Normal"/>
    <w:link w:val="BodyTextIndent2Char"/>
    <w:uiPriority w:val="99"/>
    <w:semiHidden/>
    <w:unhideWhenUsed/>
    <w:rsid w:val="00D53589"/>
    <w:pPr>
      <w:widowControl/>
      <w:spacing w:after="120" w:line="480" w:lineRule="auto"/>
      <w:ind w:left="360"/>
    </w:pPr>
    <w:rPr>
      <w:snapToGrid/>
      <w:szCs w:val="24"/>
    </w:rPr>
  </w:style>
  <w:style w:type="character" w:customStyle="1" w:styleId="BodyTextIndent2Char">
    <w:name w:val="Body Text Indent 2 Char"/>
    <w:basedOn w:val="DefaultParagraphFont"/>
    <w:link w:val="BodyTextIndent2"/>
    <w:uiPriority w:val="99"/>
    <w:semiHidden/>
    <w:rsid w:val="00D53589"/>
    <w:rPr>
      <w:rFonts w:ascii="Times New Roman" w:eastAsia="Times New Roman" w:hAnsi="Times New Roman" w:cs="Times New Roman"/>
      <w:sz w:val="24"/>
      <w:szCs w:val="24"/>
    </w:rPr>
  </w:style>
  <w:style w:type="paragraph" w:customStyle="1" w:styleId="a">
    <w:name w:val="_"/>
    <w:basedOn w:val="Normal"/>
    <w:rsid w:val="00D53589"/>
    <w:pPr>
      <w:snapToGrid w:val="0"/>
      <w:ind w:left="2160" w:hanging="720"/>
    </w:pPr>
    <w:rPr>
      <w:rFonts w:ascii="Baskerville Old Face" w:hAnsi="Baskerville Old Face"/>
      <w:snapToGrid/>
    </w:rPr>
  </w:style>
  <w:style w:type="character" w:customStyle="1" w:styleId="Mention3">
    <w:name w:val="Mention3"/>
    <w:basedOn w:val="DefaultParagraphFont"/>
    <w:uiPriority w:val="99"/>
    <w:semiHidden/>
    <w:unhideWhenUsed/>
    <w:rsid w:val="00F43CEA"/>
    <w:rPr>
      <w:color w:val="2B579A"/>
      <w:shd w:val="clear" w:color="auto" w:fill="E6E6E6"/>
    </w:rPr>
  </w:style>
  <w:style w:type="character" w:styleId="Mention">
    <w:name w:val="Mention"/>
    <w:basedOn w:val="DefaultParagraphFont"/>
    <w:uiPriority w:val="99"/>
    <w:semiHidden/>
    <w:unhideWhenUsed/>
    <w:rsid w:val="00994AFF"/>
    <w:rPr>
      <w:color w:val="2B579A"/>
      <w:shd w:val="clear" w:color="auto" w:fill="E6E6E6"/>
    </w:rPr>
  </w:style>
  <w:style w:type="character" w:styleId="UnresolvedMention">
    <w:name w:val="Unresolved Mention"/>
    <w:basedOn w:val="DefaultParagraphFont"/>
    <w:uiPriority w:val="99"/>
    <w:semiHidden/>
    <w:unhideWhenUsed/>
    <w:rsid w:val="00075FC6"/>
    <w:rPr>
      <w:color w:val="605E5C"/>
      <w:shd w:val="clear" w:color="auto" w:fill="E1DFDD"/>
    </w:rPr>
  </w:style>
  <w:style w:type="character" w:customStyle="1" w:styleId="Heading8Char">
    <w:name w:val="Heading 8 Char"/>
    <w:basedOn w:val="DefaultParagraphFont"/>
    <w:link w:val="Heading8"/>
    <w:uiPriority w:val="9"/>
    <w:semiHidden/>
    <w:rsid w:val="009B2821"/>
    <w:rPr>
      <w:rFonts w:asciiTheme="majorHAnsi" w:eastAsiaTheme="majorEastAsia" w:hAnsiTheme="majorHAnsi" w:cstheme="majorBidi"/>
      <w:snapToGrid w:val="0"/>
      <w:color w:val="272727" w:themeColor="text1" w:themeTint="D8"/>
      <w:sz w:val="21"/>
      <w:szCs w:val="21"/>
    </w:rPr>
  </w:style>
  <w:style w:type="paragraph" w:styleId="BodyTextIndent3">
    <w:name w:val="Body Text Indent 3"/>
    <w:basedOn w:val="Normal"/>
    <w:link w:val="BodyTextIndent3Char"/>
    <w:uiPriority w:val="99"/>
    <w:semiHidden/>
    <w:unhideWhenUsed/>
    <w:rsid w:val="009B2821"/>
    <w:pPr>
      <w:widowControl/>
      <w:spacing w:after="120"/>
      <w:ind w:left="360"/>
    </w:pPr>
    <w:rPr>
      <w:snapToGrid/>
      <w:sz w:val="16"/>
      <w:szCs w:val="16"/>
    </w:rPr>
  </w:style>
  <w:style w:type="character" w:customStyle="1" w:styleId="BodyTextIndent3Char">
    <w:name w:val="Body Text Indent 3 Char"/>
    <w:basedOn w:val="DefaultParagraphFont"/>
    <w:link w:val="BodyTextIndent3"/>
    <w:uiPriority w:val="99"/>
    <w:semiHidden/>
    <w:rsid w:val="009B282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318">
      <w:bodyDiv w:val="1"/>
      <w:marLeft w:val="0"/>
      <w:marRight w:val="0"/>
      <w:marTop w:val="0"/>
      <w:marBottom w:val="0"/>
      <w:divBdr>
        <w:top w:val="none" w:sz="0" w:space="0" w:color="auto"/>
        <w:left w:val="none" w:sz="0" w:space="0" w:color="auto"/>
        <w:bottom w:val="none" w:sz="0" w:space="0" w:color="auto"/>
        <w:right w:val="none" w:sz="0" w:space="0" w:color="auto"/>
      </w:divBdr>
      <w:divsChild>
        <w:div w:id="497767206">
          <w:marLeft w:val="0"/>
          <w:marRight w:val="0"/>
          <w:marTop w:val="0"/>
          <w:marBottom w:val="0"/>
          <w:divBdr>
            <w:top w:val="none" w:sz="0" w:space="0" w:color="auto"/>
            <w:left w:val="none" w:sz="0" w:space="0" w:color="auto"/>
            <w:bottom w:val="none" w:sz="0" w:space="0" w:color="auto"/>
            <w:right w:val="none" w:sz="0" w:space="0" w:color="auto"/>
          </w:divBdr>
        </w:div>
      </w:divsChild>
    </w:div>
    <w:div w:id="881938086">
      <w:bodyDiv w:val="1"/>
      <w:marLeft w:val="0"/>
      <w:marRight w:val="0"/>
      <w:marTop w:val="0"/>
      <w:marBottom w:val="0"/>
      <w:divBdr>
        <w:top w:val="none" w:sz="0" w:space="0" w:color="auto"/>
        <w:left w:val="none" w:sz="0" w:space="0" w:color="auto"/>
        <w:bottom w:val="none" w:sz="0" w:space="0" w:color="auto"/>
        <w:right w:val="none" w:sz="0" w:space="0" w:color="auto"/>
      </w:divBdr>
    </w:div>
    <w:div w:id="1041515177">
      <w:bodyDiv w:val="1"/>
      <w:marLeft w:val="0"/>
      <w:marRight w:val="0"/>
      <w:marTop w:val="0"/>
      <w:marBottom w:val="0"/>
      <w:divBdr>
        <w:top w:val="none" w:sz="0" w:space="0" w:color="auto"/>
        <w:left w:val="none" w:sz="0" w:space="0" w:color="auto"/>
        <w:bottom w:val="none" w:sz="0" w:space="0" w:color="auto"/>
        <w:right w:val="none" w:sz="0" w:space="0" w:color="auto"/>
      </w:divBdr>
    </w:div>
    <w:div w:id="11770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ishman@goco.org" TargetMode="Externa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co.org/about-us/strategic-plan" TargetMode="External"/><Relationship Id="rId7" Type="http://schemas.openxmlformats.org/officeDocument/2006/relationships/endnotes" Target="endnotes.xml"/><Relationship Id="rId12" Type="http://schemas.openxmlformats.org/officeDocument/2006/relationships/hyperlink" Target="http://tinyurl.com/GOCOGranteePorta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rtal@goco.org" TargetMode="External"/><Relationship Id="rId20" Type="http://schemas.openxmlformats.org/officeDocument/2006/relationships/hyperlink" Target="http://www.goco.org/sites/default/files/Land%20Acquisition%20Procedures%2003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co.foundationconnect.org/GrantsManager/Pages/GrantApplication.aspx?OrgID=00Do0000000Y65x&amp;CampaignId=7011J0000011qNP&amp;IsDirect=tru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rtal@goco.org" TargetMode="External"/><Relationship Id="rId23" Type="http://schemas.openxmlformats.org/officeDocument/2006/relationships/header" Target="header3.xml"/><Relationship Id="rId10" Type="http://schemas.openxmlformats.org/officeDocument/2006/relationships/hyperlink" Target="http://www.goco.org/grants/apply/open-spa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goco.org/sites/default/files/Open%20Space%20Request%20for%20Indirect%20Costs%20Form%202017.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C245-FB33-43A1-88C8-87B5255B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Tenneson</dc:creator>
  <cp:keywords/>
  <dc:description/>
  <cp:lastModifiedBy>Alex Castino</cp:lastModifiedBy>
  <cp:revision>7</cp:revision>
  <cp:lastPrinted>2013-12-19T20:06:00Z</cp:lastPrinted>
  <dcterms:created xsi:type="dcterms:W3CDTF">2019-06-17T21:29:00Z</dcterms:created>
  <dcterms:modified xsi:type="dcterms:W3CDTF">2019-06-17T21:59:00Z</dcterms:modified>
</cp:coreProperties>
</file>